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BC32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66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C084F3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424"/>
      <w:r>
        <w:rPr>
          <w:rFonts w:hint="eastAsia"/>
          <w:lang w:val="en-US" w:eastAsia="zh-CN"/>
        </w:rPr>
        <w:t>2025年度运维服务技术研发报告</w:t>
      </w:r>
      <w:bookmarkEnd w:id="1"/>
    </w:p>
    <w:p w14:paraId="6C7ADC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4E4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C3B2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2CD74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B84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3BE0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493D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3824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C4D90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C287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1C04B8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BB504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02D2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D4DA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1CB17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D7EE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6337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D4BB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67EF7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E17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E5D5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629F0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209F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AFF63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58C41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8666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8898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4D6CA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42414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2EB4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0E5B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4B46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DEB5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5E7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56A28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1C7D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23EB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F3A32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845CD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A15B8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D9E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40DF7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7371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D9A1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EA1E0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4247D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ECF8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7A931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5E475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E10A3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88D4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2025年度运维服务技术研发报告</w:t>
          </w:r>
          <w:r>
            <w:tab/>
          </w:r>
          <w:r>
            <w:fldChar w:fldCharType="begin"/>
          </w:r>
          <w:r>
            <w:instrText xml:space="preserve"> PAGEREF _Toc10424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1FF9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年度研发工作概述</w:t>
          </w:r>
          <w:r>
            <w:tab/>
          </w:r>
          <w:r>
            <w:fldChar w:fldCharType="begin"/>
          </w:r>
          <w:r>
            <w:instrText xml:space="preserve"> PAGEREF _Toc17933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DBBE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华数-服务价值台</w:t>
          </w:r>
          <w:r>
            <w:tab/>
          </w:r>
          <w:r>
            <w:fldChar w:fldCharType="begin"/>
          </w:r>
          <w:r>
            <w:instrText xml:space="preserve"> PAGEREF _Toc16179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9890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服务知识管理模块</w:t>
          </w:r>
          <w:r>
            <w:tab/>
          </w:r>
          <w:r>
            <w:fldChar w:fldCharType="begin"/>
          </w:r>
          <w:r>
            <w:instrText xml:space="preserve"> PAGEREF _Toc16066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4050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服务知识管理</w:t>
          </w:r>
          <w:r>
            <w:tab/>
          </w:r>
          <w:r>
            <w:fldChar w:fldCharType="begin"/>
          </w:r>
          <w:r>
            <w:instrText xml:space="preserve"> PAGEREF _Toc9152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B48B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服务知识类别</w:t>
          </w:r>
          <w:r>
            <w:tab/>
          </w:r>
          <w:r>
            <w:fldChar w:fldCharType="begin"/>
          </w:r>
          <w:r>
            <w:instrText xml:space="preserve"> PAGEREF _Toc7090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84C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服务知识导入</w:t>
          </w:r>
          <w:r>
            <w:tab/>
          </w:r>
          <w:r>
            <w:fldChar w:fldCharType="begin"/>
          </w:r>
          <w:r>
            <w:instrText xml:space="preserve"> PAGEREF _Toc2375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7F3E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客户满意度调查模块</w:t>
          </w:r>
          <w:r>
            <w:tab/>
          </w:r>
          <w:r>
            <w:fldChar w:fldCharType="begin"/>
          </w:r>
          <w:r>
            <w:instrText xml:space="preserve"> PAGEREF _Toc8636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065D3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满意度调查项配置</w:t>
          </w:r>
          <w:r>
            <w:tab/>
          </w:r>
          <w:r>
            <w:fldChar w:fldCharType="begin"/>
          </w:r>
          <w:r>
            <w:instrText xml:space="preserve"> PAGEREF _Toc20594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793F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满意度问卷导入</w:t>
          </w:r>
          <w:r>
            <w:tab/>
          </w:r>
          <w:r>
            <w:fldChar w:fldCharType="begin"/>
          </w:r>
          <w:r>
            <w:instrText xml:space="preserve"> PAGEREF _Toc18686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E191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调查问卷发放</w:t>
          </w:r>
          <w:r>
            <w:tab/>
          </w:r>
          <w:r>
            <w:fldChar w:fldCharType="begin"/>
          </w:r>
          <w:r>
            <w:instrText xml:space="preserve"> PAGEREF _Toc19075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022D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运维手册研发情况</w:t>
          </w:r>
          <w:r>
            <w:tab/>
          </w:r>
          <w:r>
            <w:fldChar w:fldCharType="begin"/>
          </w:r>
          <w:r>
            <w:instrText xml:space="preserve"> PAGEREF _Toc22759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26D1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新技术研发进展情况</w:t>
          </w:r>
          <w:r>
            <w:tab/>
          </w:r>
          <w:r>
            <w:fldChar w:fldCharType="begin"/>
          </w:r>
          <w:r>
            <w:instrText xml:space="preserve"> PAGEREF _Toc14232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AC8E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资金使用情况</w:t>
          </w:r>
          <w:r>
            <w:tab/>
          </w:r>
          <w:r>
            <w:fldChar w:fldCharType="begin"/>
          </w:r>
          <w:r>
            <w:instrText xml:space="preserve"> PAGEREF _Toc30172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E8E6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总结与展望</w:t>
          </w:r>
          <w:r>
            <w:tab/>
          </w:r>
          <w:r>
            <w:fldChar w:fldCharType="begin"/>
          </w:r>
          <w:r>
            <w:instrText xml:space="preserve"> PAGEREF _Toc1078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4BBF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E98D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EF5D20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7933"/>
      <w:r>
        <w:rPr>
          <w:rFonts w:hint="default"/>
          <w:lang w:val="en-US" w:eastAsia="zh-CN"/>
        </w:rPr>
        <w:t>年度研发工作概述</w:t>
      </w:r>
      <w:bookmarkEnd w:id="2"/>
    </w:p>
    <w:p w14:paraId="300D3C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部严格遵循《运维服务技术研发规划》的指引，聚焦“数智运营”转型目标，协同各业务部门，扎实推进各项研发任务。本年度核心目标是构建“管理智能、知识内嵌、操作自动、文档规范”的运维能力体系。截至报告期末，规划内主要项目均已完成或超额完成阶段性目标，新技术探索取得初步成果，资金使用符合预算计划，为公司运维服务能力的升级奠定了坚实的技术基础。</w:t>
      </w:r>
    </w:p>
    <w:p w14:paraId="33C62D14">
      <w:pPr>
        <w:pStyle w:val="28"/>
        <w:bidi w:val="0"/>
        <w:rPr>
          <w:rFonts w:hint="default"/>
          <w:lang w:val="en-US" w:eastAsia="zh-CN"/>
        </w:rPr>
      </w:pPr>
      <w:bookmarkStart w:id="3" w:name="_Toc16179"/>
      <w:r>
        <w:rPr>
          <w:rFonts w:hint="eastAsia"/>
          <w:lang w:val="en-US" w:eastAsia="zh-CN"/>
        </w:rPr>
        <w:t>华数-服务价值台</w:t>
      </w:r>
      <w:bookmarkEnd w:id="3"/>
    </w:p>
    <w:p w14:paraId="5D4E4D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完成状态：已上线并进入全面推广阶段。</w:t>
      </w:r>
    </w:p>
    <w:p w14:paraId="6E6586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项目进展情况如下：</w:t>
      </w:r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6"/>
        <w:gridCol w:w="5982"/>
      </w:tblGrid>
      <w:tr w14:paraId="27008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935B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规划内容</w:t>
            </w:r>
          </w:p>
        </w:tc>
        <w:tc>
          <w:tcPr>
            <w:tcW w:w="59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A47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</w:t>
            </w:r>
          </w:p>
        </w:tc>
      </w:tr>
      <w:tr w14:paraId="498B1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F5DE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第一阶段：需求分析与平台设计（1-3月）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4E01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已完成业务调研、产品原型与交互设计，技术架构方案通过评审。</w:t>
            </w:r>
          </w:p>
        </w:tc>
      </w:tr>
      <w:tr w14:paraId="4D64C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0CA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第二阶段：核心功能开发（4-6月）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8B9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完成服务知识管理模块（知识条目管理、分类标签、Excel导入）与客户满意度调查模块（调查项配置、问卷手动发放）的开发。</w:t>
            </w:r>
          </w:p>
        </w:tc>
      </w:tr>
      <w:tr w14:paraId="5B093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7D01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第三阶段：智能功能与数据分析开发（7-9月）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20C7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完成知识关联与应用功能、满意度结果自动汇总与统计分析模块，并完成服务价值可视化报表基础开发。</w:t>
            </w:r>
          </w:p>
        </w:tc>
      </w:tr>
      <w:tr w14:paraId="297DA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7298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第四阶段：系统集成、测试与试点运行（10月）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8DC8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已完成系统集成测试、性能与安全测试，并于数智运维部试点运行，反馈良好，正在组织全面推广。</w:t>
            </w:r>
          </w:p>
        </w:tc>
      </w:tr>
    </w:tbl>
    <w:p w14:paraId="6A0133D7">
      <w:pPr>
        <w:pStyle w:val="30"/>
        <w:bidi w:val="0"/>
        <w:rPr>
          <w:rFonts w:hint="eastAsia"/>
          <w:lang w:val="en-US" w:eastAsia="zh-CN"/>
        </w:rPr>
      </w:pPr>
      <w:bookmarkStart w:id="4" w:name="_Toc16066"/>
      <w:r>
        <w:rPr>
          <w:rFonts w:hint="eastAsia"/>
          <w:lang w:val="en-US" w:eastAsia="zh-CN"/>
        </w:rPr>
        <w:t>服务知识管理模块</w:t>
      </w:r>
      <w:bookmarkEnd w:id="4"/>
    </w:p>
    <w:p w14:paraId="5E903206">
      <w:pPr>
        <w:pStyle w:val="31"/>
        <w:bidi w:val="0"/>
        <w:rPr>
          <w:rFonts w:hint="eastAsia"/>
          <w:lang w:val="en-US" w:eastAsia="zh-CN"/>
        </w:rPr>
      </w:pPr>
      <w:bookmarkStart w:id="5" w:name="_Toc9152"/>
      <w:r>
        <w:rPr>
          <w:rFonts w:hint="eastAsia"/>
          <w:lang w:val="en-US" w:eastAsia="zh-CN"/>
        </w:rPr>
        <w:t>服务知识管理</w:t>
      </w:r>
      <w:bookmarkEnd w:id="5"/>
    </w:p>
    <w:p w14:paraId="1ED71C8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支持服务知识新增、编辑、导出、搜索和列表查看等功能</w:t>
      </w:r>
    </w:p>
    <w:p w14:paraId="0043E49C">
      <w:pPr>
        <w:pStyle w:val="29"/>
      </w:pPr>
      <w:r>
        <w:drawing>
          <wp:inline distT="0" distB="0" distL="114300" distR="114300">
            <wp:extent cx="5269865" cy="207073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336D">
      <w:pPr>
        <w:pStyle w:val="31"/>
        <w:bidi w:val="0"/>
        <w:rPr>
          <w:rFonts w:hint="default"/>
          <w:lang w:val="en-US" w:eastAsia="zh-CN"/>
        </w:rPr>
      </w:pPr>
      <w:bookmarkStart w:id="6" w:name="_Toc7090"/>
      <w:r>
        <w:rPr>
          <w:rFonts w:hint="eastAsia"/>
          <w:lang w:val="en-US" w:eastAsia="zh-CN"/>
        </w:rPr>
        <w:t>服务知识类别</w:t>
      </w:r>
      <w:bookmarkEnd w:id="6"/>
    </w:p>
    <w:p w14:paraId="2992119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支持对服务知识进行分类，默认为技术知识、运维文档、流程规范、培训资料。同时可对分类进行新增、编辑、删除等。</w:t>
      </w:r>
    </w:p>
    <w:p w14:paraId="01F84F73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566545"/>
            <wp:effectExtent l="0" t="0" r="190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7831">
      <w:pPr>
        <w:pStyle w:val="31"/>
        <w:bidi w:val="0"/>
        <w:rPr>
          <w:rFonts w:hint="default"/>
          <w:lang w:val="en-US" w:eastAsia="zh-CN"/>
        </w:rPr>
      </w:pPr>
      <w:bookmarkStart w:id="7" w:name="_Toc2375"/>
      <w:r>
        <w:rPr>
          <w:rFonts w:hint="eastAsia"/>
          <w:lang w:val="en-US" w:eastAsia="zh-CN"/>
        </w:rPr>
        <w:t>服务知识导入</w:t>
      </w:r>
      <w:bookmarkEnd w:id="7"/>
    </w:p>
    <w:p w14:paraId="1E8F94B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支持xlsx和xls格式的导入。</w:t>
      </w:r>
      <w:r>
        <w:drawing>
          <wp:inline distT="0" distB="0" distL="114300" distR="114300">
            <wp:extent cx="5266690" cy="1829435"/>
            <wp:effectExtent l="0" t="0" r="635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5C0A">
      <w:pPr>
        <w:pStyle w:val="30"/>
        <w:bidi w:val="0"/>
        <w:rPr>
          <w:rFonts w:hint="default"/>
          <w:lang w:val="en-US" w:eastAsia="zh-CN"/>
        </w:rPr>
      </w:pPr>
      <w:bookmarkStart w:id="8" w:name="_Toc8636"/>
      <w:r>
        <w:rPr>
          <w:rFonts w:hint="eastAsia"/>
          <w:lang w:val="en-US" w:eastAsia="zh-CN"/>
        </w:rPr>
        <w:t>客户满意度调查模块</w:t>
      </w:r>
      <w:bookmarkEnd w:id="8"/>
    </w:p>
    <w:p w14:paraId="10EFD681">
      <w:pPr>
        <w:pStyle w:val="31"/>
        <w:bidi w:val="0"/>
        <w:rPr>
          <w:rFonts w:hint="eastAsia"/>
          <w:lang w:val="en-US" w:eastAsia="zh-CN"/>
        </w:rPr>
      </w:pPr>
      <w:bookmarkStart w:id="9" w:name="_Toc20594"/>
      <w:r>
        <w:rPr>
          <w:rFonts w:hint="eastAsia"/>
          <w:lang w:val="en-US" w:eastAsia="zh-CN"/>
        </w:rPr>
        <w:t>满意度调查项配置</w:t>
      </w:r>
      <w:bookmarkEnd w:id="9"/>
    </w:p>
    <w:p w14:paraId="22374A4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对满意度调查项进行自主配置，实现按需调查目的</w:t>
      </w:r>
    </w:p>
    <w:p w14:paraId="2AE02AD7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856865"/>
            <wp:effectExtent l="0" t="0" r="5715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6F3C">
      <w:pPr>
        <w:pStyle w:val="31"/>
        <w:bidi w:val="0"/>
        <w:rPr>
          <w:rFonts w:hint="eastAsia"/>
          <w:lang w:val="en-US" w:eastAsia="zh-CN"/>
        </w:rPr>
      </w:pPr>
      <w:bookmarkStart w:id="10" w:name="_Toc18686"/>
      <w:r>
        <w:rPr>
          <w:rFonts w:hint="eastAsia"/>
          <w:lang w:val="en-US" w:eastAsia="zh-CN"/>
        </w:rPr>
        <w:t>满意度问卷导入</w:t>
      </w:r>
      <w:bookmarkEnd w:id="10"/>
    </w:p>
    <w:p w14:paraId="2557F0F3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657350"/>
            <wp:effectExtent l="0" t="0" r="698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93F4">
      <w:pPr>
        <w:pStyle w:val="31"/>
        <w:bidi w:val="0"/>
        <w:rPr>
          <w:rFonts w:hint="default"/>
          <w:lang w:val="en-US" w:eastAsia="zh-CN"/>
        </w:rPr>
      </w:pPr>
      <w:bookmarkStart w:id="11" w:name="_Toc19075"/>
      <w:r>
        <w:rPr>
          <w:rFonts w:hint="eastAsia"/>
          <w:lang w:val="en-US" w:eastAsia="zh-CN"/>
        </w:rPr>
        <w:t>调查问卷发放</w:t>
      </w:r>
      <w:bookmarkEnd w:id="11"/>
    </w:p>
    <w:p w14:paraId="12A1068D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611630"/>
            <wp:effectExtent l="0" t="0" r="1143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0BE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2759"/>
      <w:r>
        <w:rPr>
          <w:rFonts w:hint="default"/>
          <w:lang w:val="en-US" w:eastAsia="zh-CN"/>
        </w:rPr>
        <w:t>运维手册研发情况</w:t>
      </w:r>
      <w:bookmarkEnd w:id="12"/>
    </w:p>
    <w:p w14:paraId="4FA887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完成状态：年度计划手册全部完成。</w:t>
      </w:r>
    </w:p>
    <w:p w14:paraId="552256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核心成果：严格按《手册研发计划表》推进，完成了关键手册的标准化研发：</w:t>
      </w:r>
    </w:p>
    <w:p w14:paraId="76EDA6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《视频监控平台运维手册》：已于Q1发布，涵盖视频监控平台（含摄像机、NVR、解码器等）的部署配置、日常操作、监控巡检及常见故障处理指南，成为视频监控运维岗位的必备工具书。</w:t>
      </w:r>
    </w:p>
    <w:p w14:paraId="5F51949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《视频监控网络传输故障排查手册》：Q2发布，涵盖光纤收发器、交换机、IP规划等网络传输设备的故障定位方法、排查步骤及典型问题处理流程，显著提升了网络故障的响应效率。</w:t>
      </w:r>
    </w:p>
    <w:p w14:paraId="1A817DB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《视频存储与平台运维手册》：Q3正式发布，涵盖NVR/CVR存储设备、视频综合平台、存储服务器的日常运维、容量管理、录像完整性检查及故障恢复操作，已在公司多个视频监控项目中应用。</w:t>
      </w:r>
    </w:p>
    <w:p w14:paraId="73CE2F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标准化建设：所有新编手册均遵循公司统一模板，结构清晰、图文并茂，并建立了与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联动的定期评审与更新机制，初步形成了体系化的运维知识资产。</w:t>
      </w:r>
    </w:p>
    <w:p w14:paraId="2B624E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2BBE89A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4232"/>
      <w:r>
        <w:rPr>
          <w:rFonts w:hint="default"/>
          <w:lang w:val="en-US" w:eastAsia="zh-CN"/>
        </w:rPr>
        <w:t>新技术研发进展情况</w:t>
      </w:r>
      <w:bookmarkEnd w:id="13"/>
    </w:p>
    <w:p w14:paraId="185D00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完成状态：预研与评估阶段顺利完成，已进入原型验证阶段。</w:t>
      </w:r>
    </w:p>
    <w:p w14:paraId="2C2C2A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核心进展：</w:t>
      </w:r>
    </w:p>
    <w:p w14:paraId="115031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Ops场景探索：Q2-Q3期间，技术虚拟小组完成了对开源框架的技术评估。Q4起，已选取“Nginx访问日志错误模式自动识别”作为首个PoC场景，目前原型系统正在测试环境中运行，初步验证了通过简单规则引擎实现异常模式过滤的可行性。</w:t>
      </w:r>
    </w:p>
    <w:p w14:paraId="521BD75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超自动化流程拓展：基于现有RPA经验，对低代码工作流平台进行了选型研究。已完成“月度运维报告数据自动采集与生成”流程的设计，</w:t>
      </w:r>
      <w:r>
        <w:rPr>
          <w:rFonts w:hint="eastAsia"/>
          <w:lang w:val="en-US" w:eastAsia="zh-CN"/>
        </w:rPr>
        <w:t>于</w:t>
      </w:r>
      <w:bookmarkStart w:id="16" w:name="_GoBack"/>
      <w:bookmarkEnd w:id="16"/>
      <w:r>
        <w:rPr>
          <w:rFonts w:hint="default"/>
          <w:lang w:val="en-US" w:eastAsia="zh-CN"/>
        </w:rPr>
        <w:t>12月进行自动化流程部署测试。</w:t>
      </w:r>
    </w:p>
    <w:p w14:paraId="3EAF26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融合探索：已初步规划了智能告警事件与知识库解决方案、自动化流程的联动接口方案，为2026年深度集成打下基础。</w:t>
      </w:r>
    </w:p>
    <w:p w14:paraId="4A6D02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阶段结论：本年度新技术研发工作实现了从0到1的突破，明确了技术路线，积累了初步实践经验，达到了“能力建设和方向验证”的预期目标。</w:t>
      </w:r>
    </w:p>
    <w:p w14:paraId="2862EA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0172"/>
      <w:r>
        <w:rPr>
          <w:rFonts w:hint="default"/>
          <w:lang w:val="en-US" w:eastAsia="zh-CN"/>
        </w:rPr>
        <w:t>资金使用情况</w:t>
      </w:r>
      <w:bookmarkEnd w:id="14"/>
    </w:p>
    <w:p w14:paraId="5511C7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2025年度，研发规划预算总额为103万元。截至2025年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，实际支出共计</w:t>
      </w:r>
      <w:r>
        <w:rPr>
          <w:rFonts w:hint="eastAsia"/>
          <w:lang w:val="en-US" w:eastAsia="zh-CN"/>
        </w:rPr>
        <w:t>103</w:t>
      </w:r>
      <w:r>
        <w:rPr>
          <w:rFonts w:hint="default"/>
          <w:lang w:val="en-US" w:eastAsia="zh-CN"/>
        </w:rPr>
        <w:t>万元，预算</w:t>
      </w:r>
      <w:r>
        <w:rPr>
          <w:rFonts w:hint="eastAsia"/>
          <w:lang w:val="en-US" w:eastAsia="zh-CN"/>
        </w:rPr>
        <w:t>使用合理</w:t>
      </w:r>
      <w:r>
        <w:rPr>
          <w:rFonts w:hint="default"/>
          <w:lang w:val="en-US" w:eastAsia="zh-CN"/>
        </w:rPr>
        <w:t>，资金使用健康、合理，主要支出情况如下：</w:t>
      </w:r>
    </w:p>
    <w:p w14:paraId="69BBA8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人力资源成本（60万元预算）：实际支出60万元，执行率100%。为研发团队薪酬、奖金，是项目顺利推进的根本保障。</w:t>
      </w:r>
    </w:p>
    <w:p w14:paraId="73897D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软硬件及云资源采购（12万元预算）：实际支出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万元。主要用于智能平台生产环境云服务器租赁及部分商业BI组件许可采购。</w:t>
      </w:r>
    </w:p>
    <w:p w14:paraId="23B653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专项费用（31万元预算）：</w:t>
      </w:r>
    </w:p>
    <w:p w14:paraId="0B6E32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手册研发（8万元）：实际支出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万元，用于手册编写、评审及</w:t>
      </w:r>
      <w:r>
        <w:rPr>
          <w:rFonts w:hint="eastAsia"/>
          <w:lang w:val="en-US" w:eastAsia="zh-CN"/>
        </w:rPr>
        <w:t>知识</w:t>
      </w:r>
      <w:r>
        <w:rPr>
          <w:rFonts w:hint="default"/>
          <w:lang w:val="en-US" w:eastAsia="zh-CN"/>
        </w:rPr>
        <w:t>适配。</w:t>
      </w:r>
    </w:p>
    <w:p w14:paraId="4A01A3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新技术研发（15万元）：实际支出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万元，用于技术培训、PoC环境搭建及外部专家咨询。</w:t>
      </w:r>
    </w:p>
    <w:p w14:paraId="0CC733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外包咨询与培训推广（8万元）：实际支出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万元，主要用于安全测试服务及内部推广活动。</w:t>
      </w:r>
    </w:p>
    <w:p w14:paraId="3D51E59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078"/>
      <w:r>
        <w:rPr>
          <w:rFonts w:hint="default"/>
          <w:lang w:val="en-US" w:eastAsia="zh-CN"/>
        </w:rPr>
        <w:t>总结与展望</w:t>
      </w:r>
      <w:bookmarkEnd w:id="15"/>
    </w:p>
    <w:p w14:paraId="00CBF5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2025年度运维服务技术研发工作整体达成既定目标，在平台智能化、知识体系化、操作自动化及技术前瞻性等方面均取得了实质性进展。这些成果直接提升了运维服务的效率、质量与客户感知。</w:t>
      </w:r>
    </w:p>
    <w:p w14:paraId="10E7F5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望2026年，研发部将在巩固本年度成果的基础上，重点推进智能服务平台的深化应用与全国推广，完成知识库系统的全面优化，并依据本年度的预研成果，审慎推进1-2个AIOps或超自动化场景的试点落地，持续驱动公司运维服务能力与核心竞争力的提升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9D9C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C279A8"/>
    <w:rsid w:val="036A712A"/>
    <w:rsid w:val="036D293D"/>
    <w:rsid w:val="037C7496"/>
    <w:rsid w:val="0482288A"/>
    <w:rsid w:val="08344B05"/>
    <w:rsid w:val="0A2752D7"/>
    <w:rsid w:val="0B9A7A1D"/>
    <w:rsid w:val="0BB84DE3"/>
    <w:rsid w:val="0F0547E3"/>
    <w:rsid w:val="0FDA5C70"/>
    <w:rsid w:val="173D7525"/>
    <w:rsid w:val="1A3A7A37"/>
    <w:rsid w:val="1BF41E67"/>
    <w:rsid w:val="1BFB1448"/>
    <w:rsid w:val="1C0A51E7"/>
    <w:rsid w:val="1E4744D0"/>
    <w:rsid w:val="1F880587"/>
    <w:rsid w:val="22961692"/>
    <w:rsid w:val="26F07AEA"/>
    <w:rsid w:val="283B1D67"/>
    <w:rsid w:val="29C27101"/>
    <w:rsid w:val="2AB942C3"/>
    <w:rsid w:val="2B956DFA"/>
    <w:rsid w:val="2D546C0A"/>
    <w:rsid w:val="30442F65"/>
    <w:rsid w:val="30C23E8A"/>
    <w:rsid w:val="31EA18EB"/>
    <w:rsid w:val="37DE77FC"/>
    <w:rsid w:val="3CB46D7D"/>
    <w:rsid w:val="3D4129FD"/>
    <w:rsid w:val="3D4C16AB"/>
    <w:rsid w:val="3EC901E7"/>
    <w:rsid w:val="46BA1434"/>
    <w:rsid w:val="478B2DD0"/>
    <w:rsid w:val="49DC4E63"/>
    <w:rsid w:val="4BD905AE"/>
    <w:rsid w:val="4D756297"/>
    <w:rsid w:val="4D866514"/>
    <w:rsid w:val="502F0BB9"/>
    <w:rsid w:val="535B7B08"/>
    <w:rsid w:val="5A771D26"/>
    <w:rsid w:val="5A9304C2"/>
    <w:rsid w:val="5B24111A"/>
    <w:rsid w:val="5CB52971"/>
    <w:rsid w:val="5D0D6309"/>
    <w:rsid w:val="5EFA7839"/>
    <w:rsid w:val="67B57CC9"/>
    <w:rsid w:val="6DB73ECE"/>
    <w:rsid w:val="6DD80CFC"/>
    <w:rsid w:val="71FA6D8D"/>
    <w:rsid w:val="7508289F"/>
    <w:rsid w:val="7F673200"/>
    <w:rsid w:val="7FB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2206</Words>
  <Characters>2413</Characters>
  <Lines>0</Lines>
  <Paragraphs>0</Paragraphs>
  <TotalTime>1</TotalTime>
  <ScaleCrop>false</ScaleCrop>
  <LinksUpToDate>false</LinksUpToDate>
  <CharactersWithSpaces>2475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