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1403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27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3B871E6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016"/>
      <w:r>
        <w:rPr>
          <w:rFonts w:hint="eastAsia"/>
          <w:lang w:val="en-US" w:eastAsia="zh-CN"/>
        </w:rPr>
        <w:t>备件库管理制度</w:t>
      </w:r>
      <w:bookmarkEnd w:id="1"/>
    </w:p>
    <w:p w14:paraId="0F938F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188F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35F4B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A6F86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1A696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A3958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62BE9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52" w:name="_GoBack"/>
            <w:bookmarkEnd w:id="5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E7B0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69F3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4A57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364774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77167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D790A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7A06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17315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FD233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3AD55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632D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72002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2F1E1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1FF5D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2FC864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0DBECC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55F9DD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362D5D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4D9945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65F1F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31AEB1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489F9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475A5E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修订应急采购</w:t>
            </w:r>
          </w:p>
        </w:tc>
        <w:tc>
          <w:tcPr>
            <w:tcW w:w="1829" w:type="dxa"/>
            <w:shd w:val="clear" w:color="auto" w:fill="auto"/>
          </w:tcPr>
          <w:p w14:paraId="594B54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23E880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328485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65AC9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10F0C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88192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652DA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469E85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802A4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06F8A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38C3A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751B2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C2654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51D21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999C6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DAE34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70369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65DAA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BE0754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E9AAB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_Toc23274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8A91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备件库管理制度</w:t>
          </w:r>
          <w:r>
            <w:tab/>
          </w:r>
          <w:r>
            <w:fldChar w:fldCharType="begin"/>
          </w:r>
          <w:r>
            <w:instrText xml:space="preserve"> PAGEREF _Toc23016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10E3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DF3B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CA7B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管理原则</w:t>
          </w:r>
          <w:r>
            <w:tab/>
          </w:r>
          <w:r>
            <w:fldChar w:fldCharType="begin"/>
          </w:r>
          <w:r>
            <w:instrText xml:space="preserve"> PAGEREF _Toc1814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F12E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_Toc3193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057E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运维部职责</w:t>
          </w:r>
          <w:r>
            <w:tab/>
          </w:r>
          <w:r>
            <w:fldChar w:fldCharType="begin"/>
          </w:r>
          <w:r>
            <w:instrText xml:space="preserve"> PAGEREF _Toc17725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DFEA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项目组职责</w:t>
          </w:r>
          <w:r>
            <w:tab/>
          </w:r>
          <w:r>
            <w:fldChar w:fldCharType="begin"/>
          </w:r>
          <w:r>
            <w:instrText xml:space="preserve"> PAGEREF _Toc10010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0CFF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备件库房管理要求</w:t>
          </w:r>
          <w:r>
            <w:tab/>
          </w:r>
          <w:r>
            <w:fldChar w:fldCharType="begin"/>
          </w:r>
          <w:r>
            <w:instrText xml:space="preserve"> PAGEREF _Toc26680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72E5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备件管理流程</w:t>
          </w:r>
          <w:r>
            <w:tab/>
          </w:r>
          <w:r>
            <w:fldChar w:fldCharType="begin"/>
          </w:r>
          <w:r>
            <w:instrText xml:space="preserve"> PAGEREF _Toc3888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4D8F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备品备件采购管理</w:t>
          </w:r>
          <w:r>
            <w:tab/>
          </w:r>
          <w:r>
            <w:fldChar w:fldCharType="begin"/>
          </w:r>
          <w:r>
            <w:instrText xml:space="preserve"> PAGEREF _Toc16387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B5833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年度备品备件采购</w:t>
          </w:r>
          <w:r>
            <w:tab/>
          </w:r>
          <w:r>
            <w:fldChar w:fldCharType="begin"/>
          </w:r>
          <w:r>
            <w:instrText xml:space="preserve"> PAGEREF _Toc20040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7E2CD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项目备品备件采购</w:t>
          </w:r>
          <w:r>
            <w:tab/>
          </w:r>
          <w:r>
            <w:fldChar w:fldCharType="begin"/>
          </w:r>
          <w:r>
            <w:instrText xml:space="preserve"> PAGEREF _Toc19314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A2BEB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5.1.3. </w:t>
          </w:r>
          <w:r>
            <w:t>紧急备品备件采购</w:t>
          </w:r>
          <w:r>
            <w:tab/>
          </w:r>
          <w:r>
            <w:fldChar w:fldCharType="begin"/>
          </w:r>
          <w:r>
            <w:instrText xml:space="preserve"> PAGEREF _Toc32118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C3F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5.2 备品备件库存管理</w:t>
          </w:r>
          <w:r>
            <w:tab/>
          </w:r>
          <w:r>
            <w:fldChar w:fldCharType="begin"/>
          </w:r>
          <w:r>
            <w:instrText xml:space="preserve"> PAGEREF _Toc18064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123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备品备件领用管理</w:t>
          </w:r>
          <w:r>
            <w:tab/>
          </w:r>
          <w:r>
            <w:fldChar w:fldCharType="begin"/>
          </w:r>
          <w:r>
            <w:instrText xml:space="preserve"> PAGEREF _Toc31423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EE84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备品备件响应管理</w:t>
          </w:r>
          <w:r>
            <w:tab/>
          </w:r>
          <w:r>
            <w:fldChar w:fldCharType="begin"/>
          </w:r>
          <w:r>
            <w:instrText xml:space="preserve"> PAGEREF _Toc26860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D84D4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故障级别判定</w:t>
          </w:r>
          <w:r>
            <w:tab/>
          </w:r>
          <w:r>
            <w:fldChar w:fldCharType="begin"/>
          </w:r>
          <w:r>
            <w:instrText xml:space="preserve"> PAGEREF _Toc4775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EC3B0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响应时限</w:t>
          </w:r>
          <w:r>
            <w:tab/>
          </w:r>
          <w:r>
            <w:fldChar w:fldCharType="begin"/>
          </w:r>
          <w:r>
            <w:instrText xml:space="preserve"> PAGEREF _Toc15201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7C7C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坏件送修管理</w:t>
          </w:r>
          <w:r>
            <w:tab/>
          </w:r>
          <w:r>
            <w:fldChar w:fldCharType="begin"/>
          </w:r>
          <w:r>
            <w:instrText xml:space="preserve"> PAGEREF _Toc1884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15BD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备品备件报废管理</w:t>
          </w:r>
          <w:r>
            <w:tab/>
          </w:r>
          <w:r>
            <w:fldChar w:fldCharType="begin"/>
          </w:r>
          <w:r>
            <w:instrText xml:space="preserve"> PAGEREF _Toc26916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FF8F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备品备件检测</w:t>
          </w:r>
          <w:r>
            <w:tab/>
          </w:r>
          <w:r>
            <w:fldChar w:fldCharType="begin"/>
          </w:r>
          <w:r>
            <w:instrText xml:space="preserve"> PAGEREF _Toc27159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B0AB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检查及考核</w:t>
          </w:r>
          <w:r>
            <w:tab/>
          </w:r>
          <w:r>
            <w:fldChar w:fldCharType="begin"/>
          </w:r>
          <w:r>
            <w:instrText xml:space="preserve"> PAGEREF _Toc19981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E9CD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_Toc8362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A339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检查机制</w:t>
          </w:r>
          <w:r>
            <w:tab/>
          </w:r>
          <w:r>
            <w:fldChar w:fldCharType="begin"/>
          </w:r>
          <w:r>
            <w:instrText xml:space="preserve"> PAGEREF _Toc21637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4696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_Toc83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3D63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_Toc1913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116F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5677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B4114D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3"/>
      <w:bookmarkStart w:id="3" w:name="_Toc28905"/>
      <w:r>
        <w:t>目的</w:t>
      </w:r>
      <w:bookmarkEnd w:id="2"/>
      <w:bookmarkEnd w:id="3"/>
    </w:p>
    <w:p w14:paraId="30335A9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加强公司备品备件库的集中统一管理，做好备品备件的储备供应工作，抓好用、管、修、供四个环节，保证设备故障维修和检修计划的顺利进行，充分利用、合理配置备品备件资源，降低库存资金占用及运维成本，实现备品备件“统一管理、分级存放、资源共享、集中调配、就近领用”的快速高效管理模式，特制定本制度。</w:t>
      </w:r>
    </w:p>
    <w:p w14:paraId="0DA859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bookmarkStart w:id="5" w:name="_Toc7144"/>
      <w:r>
        <w:t>适用范围</w:t>
      </w:r>
      <w:bookmarkEnd w:id="4"/>
      <w:bookmarkEnd w:id="5"/>
    </w:p>
    <w:p w14:paraId="086F319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本制度适用于公司运维部备品备件库及各运维项目备品备件库。</w:t>
      </w:r>
    </w:p>
    <w:p w14:paraId="7512AB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814"/>
      <w:bookmarkStart w:id="7" w:name="heading_5"/>
      <w:r>
        <w:t>管理原则</w:t>
      </w:r>
      <w:bookmarkEnd w:id="6"/>
      <w:bookmarkEnd w:id="7"/>
    </w:p>
    <w:p w14:paraId="53F8CB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备品备件管理遵循以下原则：</w:t>
      </w:r>
    </w:p>
    <w:p w14:paraId="1C280A0D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统一管理：公司对备品备件进行统一购买、统一送修故障件、统一费用结算。</w:t>
      </w:r>
    </w:p>
    <w:p w14:paraId="63501E4B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分级存放：公司统一购买并存放通用、核心、高值的备品备件，供各项目周转使用；各项目组按照合同要求在现场存放常用备件。</w:t>
      </w:r>
    </w:p>
    <w:p w14:paraId="1802BF85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资源共享：通过备品备件管理系统的建设，使存放在各处的备件信息资源共享。</w:t>
      </w:r>
    </w:p>
    <w:p w14:paraId="23366EEA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集中调配：根据维护实际需要，运维部负责跨项目之间的备件调用。</w:t>
      </w:r>
    </w:p>
    <w:p w14:paraId="7FA222B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3193"/>
      <w:bookmarkStart w:id="9" w:name="heading_7"/>
      <w:r>
        <w:t>职责</w:t>
      </w:r>
      <w:bookmarkEnd w:id="8"/>
      <w:bookmarkEnd w:id="9"/>
    </w:p>
    <w:p w14:paraId="0B681E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8"/>
      <w:bookmarkStart w:id="11" w:name="_Toc17725"/>
      <w:r>
        <w:t>运维部职责</w:t>
      </w:r>
      <w:bookmarkEnd w:id="10"/>
      <w:bookmarkEnd w:id="11"/>
    </w:p>
    <w:p w14:paraId="56B7821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公司备品备件由运维部统一归口管理，主要职责包括：</w:t>
      </w:r>
    </w:p>
    <w:p w14:paraId="663DE019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制定公司备品备件管理办法和考核办法，综合管理、考核公司的备品备件管理工作。</w:t>
      </w:r>
    </w:p>
    <w:p w14:paraId="53D36102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负责协调各项目组间的应急调拨工作。</w:t>
      </w:r>
    </w:p>
    <w:p w14:paraId="3FF300D5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响应各项目组对备品备件的需求，及时寄送备件。</w:t>
      </w:r>
    </w:p>
    <w:p w14:paraId="4133F6D4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对新购买的备件和返修备件进行入库前质量检测。</w:t>
      </w:r>
    </w:p>
    <w:p w14:paraId="61B5C9B0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对备品备件库房进行规范管理，对备件质量进行定期检测，保证备件性能完好。</w:t>
      </w:r>
    </w:p>
    <w:p w14:paraId="4E200F24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负责制定年度备品备件购置计划和修理费用预算，上报公司审批。</w:t>
      </w:r>
    </w:p>
    <w:p w14:paraId="436866EF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对各项目组备品备件管理工作进行业务指导，定期进行检查，并将检查结果向公司通报。</w:t>
      </w:r>
    </w:p>
    <w:p w14:paraId="0986FCE5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定期核对备品备件调用情况，确保库存与记录相符。</w:t>
      </w:r>
    </w:p>
    <w:p w14:paraId="17271DD8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负责公司全部备品备件的返修工作。</w:t>
      </w:r>
    </w:p>
    <w:p w14:paraId="2880F96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0010"/>
      <w:bookmarkStart w:id="13" w:name="heading_9"/>
      <w:r>
        <w:t>项目组职责</w:t>
      </w:r>
      <w:bookmarkEnd w:id="12"/>
      <w:bookmarkEnd w:id="13"/>
    </w:p>
    <w:p w14:paraId="185DB16A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负责存放在项目现场的所有备件的管理使用，并将备件管理责任落实到具体人员。</w:t>
      </w:r>
    </w:p>
    <w:p w14:paraId="2811AF11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对项目组备件库房进行规范管理，24小时响应维护现场对备件的需求。</w:t>
      </w:r>
    </w:p>
    <w:p w14:paraId="0047817B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将本地的故障件统一寄送到运维部更换或送修。</w:t>
      </w:r>
    </w:p>
    <w:p w14:paraId="7881E56E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组织维护人员对备件进行入库前质量检测。</w:t>
      </w:r>
    </w:p>
    <w:p w14:paraId="03711A09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负责项目组的备件调用，紧急情况下若无本地备件，申请紧急备件支持。</w:t>
      </w:r>
    </w:p>
    <w:p w14:paraId="6B9FA9AF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根据本项目设备的运行情况和备件情况，制定备件购置年度计划报运维部。</w:t>
      </w:r>
    </w:p>
    <w:p w14:paraId="7C6FDFFD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定期对存放在现场备件库的备件管理情况进行巡查，对出现的问题提出改进措施。</w:t>
      </w:r>
    </w:p>
    <w:p w14:paraId="5E81FE20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定期统计分析备品备件的使用情况、设备损坏及送修情况，报运维部存档。</w:t>
      </w:r>
    </w:p>
    <w:p w14:paraId="33F45E62">
      <w:pPr>
        <w:pStyle w:val="42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接受运维部的业务指导，服从公司备件的异地应急调用。</w:t>
      </w:r>
    </w:p>
    <w:p w14:paraId="7B60589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10"/>
      <w:bookmarkStart w:id="15" w:name="_Toc26680"/>
      <w:r>
        <w:t>备件库房管理要求</w:t>
      </w:r>
      <w:bookmarkEnd w:id="14"/>
      <w:bookmarkEnd w:id="15"/>
    </w:p>
    <w:p w14:paraId="64D97F8C">
      <w:pPr>
        <w:pStyle w:val="42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库房内严禁烟火，严禁存放易燃易爆物品，严禁乱拉乱搭电线，应配备消防设施。</w:t>
      </w:r>
    </w:p>
    <w:p w14:paraId="55D1FA27">
      <w:pPr>
        <w:pStyle w:val="42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非工作人员不得进入库房。特殊情况需进入时，应符合进入库房的要求，并做好出入登记记录。</w:t>
      </w:r>
    </w:p>
    <w:p w14:paraId="6BAB7A32">
      <w:pPr>
        <w:pStyle w:val="42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入库的备品备件应装入防静电袋并密封好后再行储放，仪器仪表应装入包装盒（箱）中再行储放。</w:t>
      </w:r>
    </w:p>
    <w:p w14:paraId="20506C9B">
      <w:pPr>
        <w:pStyle w:val="42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各专业人员依据备品备件的型号分架放置，并贴上标签。标签要清晰、完整且贴在醒目的位置。</w:t>
      </w:r>
    </w:p>
    <w:p w14:paraId="21B624C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3888"/>
      <w:bookmarkStart w:id="17" w:name="heading_11"/>
      <w:r>
        <w:t>备件管理流程</w:t>
      </w:r>
      <w:bookmarkEnd w:id="16"/>
      <w:bookmarkEnd w:id="17"/>
    </w:p>
    <w:p w14:paraId="426B18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2"/>
      <w:bookmarkStart w:id="19" w:name="_Toc16387"/>
      <w:r>
        <w:t>备品备件采购管理</w:t>
      </w:r>
      <w:bookmarkEnd w:id="18"/>
      <w:bookmarkEnd w:id="19"/>
    </w:p>
    <w:p w14:paraId="3EE3403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0040"/>
      <w:bookmarkStart w:id="21" w:name="heading_13"/>
      <w:r>
        <w:t>年度备品备件采购</w:t>
      </w:r>
      <w:bookmarkEnd w:id="20"/>
      <w:bookmarkEnd w:id="21"/>
    </w:p>
    <w:p w14:paraId="15CDA497">
      <w:pPr>
        <w:pStyle w:val="42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各项目组根据区域内设备运行情况，制定年度备品备件采购计划。</w:t>
      </w:r>
    </w:p>
    <w:p w14:paraId="5F5209AE">
      <w:pPr>
        <w:pStyle w:val="42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运维部根据各项目组上报的备品备件采购计划，汇总制定公司年度备品备件采购计划。</w:t>
      </w:r>
    </w:p>
    <w:p w14:paraId="66B6715F">
      <w:pPr>
        <w:pStyle w:val="42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年度备品备件采购计划通过公司审批后，交由采购部统一进行采购。</w:t>
      </w:r>
    </w:p>
    <w:p w14:paraId="2E4AE13D">
      <w:pPr>
        <w:pStyle w:val="42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采购回来的备品备件由运维部负责入库。</w:t>
      </w:r>
    </w:p>
    <w:p w14:paraId="00BEC5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4"/>
      <w:bookmarkStart w:id="23" w:name="_Toc19314"/>
      <w:r>
        <w:t>项目备品备件采购</w:t>
      </w:r>
      <w:bookmarkEnd w:id="22"/>
      <w:bookmarkEnd w:id="23"/>
    </w:p>
    <w:p w14:paraId="48507E2C">
      <w:pPr>
        <w:pStyle w:val="42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根据合同要求，制定服务期内的备品备件采购计划，并上报公司。</w:t>
      </w:r>
    </w:p>
    <w:p w14:paraId="0591B7B4">
      <w:pPr>
        <w:pStyle w:val="42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审批通过后的项目备品备件采购计划由采购部统一采购，并发往项目组现场。</w:t>
      </w:r>
    </w:p>
    <w:p w14:paraId="668D102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5"/>
      <w:bookmarkStart w:id="25" w:name="_Toc32118"/>
      <w:r>
        <w:t>紧急备品备件采购</w:t>
      </w:r>
      <w:bookmarkEnd w:id="24"/>
      <w:bookmarkEnd w:id="25"/>
    </w:p>
    <w:p w14:paraId="7E8348EA">
      <w:pPr>
        <w:pStyle w:val="42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触发条件：</w:t>
      </w:r>
    </w:p>
    <w:p w14:paraId="1A3FF6FB">
      <w:pPr>
        <w:pStyle w:val="42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备品备件采购计划中没有列明，但在运维过程中实际需要的备品备件</w:t>
      </w:r>
    </w:p>
    <w:p w14:paraId="5E5B8920">
      <w:pPr>
        <w:pStyle w:val="42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实际需求超过采购计划中采购数量的备品备件</w:t>
      </w:r>
    </w:p>
    <w:p w14:paraId="6379CA49">
      <w:pPr>
        <w:pStyle w:val="42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执行步骤：</w:t>
      </w:r>
    </w:p>
    <w:p w14:paraId="7880F21B">
      <w:pPr>
        <w:pStyle w:val="42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运维工程师填写紧急采购申请单，注明原因、所需备品备件名称、型号、数量等信息。</w:t>
      </w:r>
    </w:p>
    <w:p w14:paraId="7D15E392">
      <w:pPr>
        <w:pStyle w:val="42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运维部经理审批采购申请单。</w:t>
      </w:r>
    </w:p>
    <w:p w14:paraId="33A387F2">
      <w:pPr>
        <w:pStyle w:val="42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采购部根据采购申请单，采购所需备品备件。</w:t>
      </w:r>
    </w:p>
    <w:p w14:paraId="7564DA6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6"/>
      <w:bookmarkStart w:id="27" w:name="_Toc18064"/>
      <w:r>
        <w:t>5.2 备品备件库存管理</w:t>
      </w:r>
      <w:bookmarkEnd w:id="26"/>
      <w:bookmarkEnd w:id="27"/>
    </w:p>
    <w:p w14:paraId="1DF9BF9E">
      <w:pPr>
        <w:pStyle w:val="42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运维部领用备品备件后，应规范有序地分级存放到各存放点（公司库房等），分门别类地存放到指定位置。要求按备件类别进行详细归类，备件上的资产编号、型号、名称、序列号等标识应齐全。</w:t>
      </w:r>
    </w:p>
    <w:p w14:paraId="59184CFE">
      <w:pPr>
        <w:pStyle w:val="42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运维部应建立备品备件出入库台账，对备品备件的规格、数量、来源、出入库原因、去向、出库数量、结存数量等进行逐一登记。严格按制度执行备品备件的出入库清点、移交、双方签收，并及时建账入库。</w:t>
      </w:r>
    </w:p>
    <w:p w14:paraId="186D6B69">
      <w:pPr>
        <w:pStyle w:val="42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库存备件应做到账、卡、物相符，记账及时准确。备件库房应建立定期盘点制度，对库存备品备件和在用备品备件的数量和种类进行统计，盘点结果上报公司。</w:t>
      </w:r>
    </w:p>
    <w:p w14:paraId="2162D765">
      <w:pPr>
        <w:pStyle w:val="42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盘点流程：备品备件管理员根据盘点计划进行实物盘点，生成实物盘点清单并与备品备件存量清单对比。如有差异，生成差异对比表上报领导审核，审核通过后按差异处理意见对库存做盘亏或盘盈处理。</w:t>
      </w:r>
    </w:p>
    <w:p w14:paraId="477A9BE3">
      <w:pPr>
        <w:pStyle w:val="42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备品备件库应对在用备品备件进行跟踪，加快回收速度，提高备件的周转率。对坏件及时送修，保证库存可用备件的数量。</w:t>
      </w:r>
    </w:p>
    <w:p w14:paraId="191BB5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7"/>
      <w:bookmarkStart w:id="29" w:name="_Toc31423"/>
      <w:r>
        <w:t>备品备件领用管理</w:t>
      </w:r>
      <w:bookmarkEnd w:id="28"/>
      <w:bookmarkEnd w:id="29"/>
    </w:p>
    <w:p w14:paraId="7D7DDDF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当备件从库房拿出使用时，进入备件领用流程：</w:t>
      </w:r>
    </w:p>
    <w:p w14:paraId="610C6A39">
      <w:pPr>
        <w:pStyle w:val="42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维护人员提出备件领用申请，填写《备品备件领用单》。</w:t>
      </w:r>
    </w:p>
    <w:p w14:paraId="5C39EEC7">
      <w:pPr>
        <w:pStyle w:val="42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经项目经理审核通过后进行登记领用。</w:t>
      </w:r>
    </w:p>
    <w:p w14:paraId="422FF356">
      <w:pPr>
        <w:pStyle w:val="42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领用的备件用于更换故障设备后，更换回的坏件进入领用返回流程。</w:t>
      </w:r>
    </w:p>
    <w:p w14:paraId="491EFA0E">
      <w:pPr>
        <w:pStyle w:val="42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入库的坏件进入送修或报废流程。</w:t>
      </w:r>
    </w:p>
    <w:p w14:paraId="1309EE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_Toc26860"/>
      <w:bookmarkStart w:id="31" w:name="heading_18"/>
      <w:r>
        <w:t>备品备件响应管理</w:t>
      </w:r>
      <w:bookmarkEnd w:id="30"/>
      <w:bookmarkEnd w:id="31"/>
    </w:p>
    <w:p w14:paraId="58466BD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备品备件响应按照故障级别进行分级响应：</w:t>
      </w:r>
    </w:p>
    <w:p w14:paraId="553611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9"/>
      <w:bookmarkStart w:id="33" w:name="_Toc4775"/>
      <w:r>
        <w:t>故障级别判定</w:t>
      </w:r>
      <w:bookmarkEnd w:id="32"/>
      <w:bookmarkEnd w:id="3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7"/>
        <w:gridCol w:w="6287"/>
      </w:tblGrid>
      <w:tr w14:paraId="60A40B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3F5B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62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97BA8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 w14:paraId="1708874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FBC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一级故障</w:t>
            </w:r>
          </w:p>
        </w:tc>
        <w:tc>
          <w:tcPr>
            <w:tcW w:w="6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726C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核心系统设备或关键业务系统瘫痪，造成业务功能完全丧失</w:t>
            </w:r>
          </w:p>
        </w:tc>
      </w:tr>
      <w:tr w14:paraId="31D76C7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468B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二级故障</w:t>
            </w:r>
          </w:p>
        </w:tc>
        <w:tc>
          <w:tcPr>
            <w:tcW w:w="6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217D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主要系统设备故障，造成部分关键业务功能间歇性不可用</w:t>
            </w:r>
          </w:p>
        </w:tc>
      </w:tr>
      <w:tr w14:paraId="40E08F2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83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三级故障</w:t>
            </w:r>
          </w:p>
        </w:tc>
        <w:tc>
          <w:tcPr>
            <w:tcW w:w="62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4F0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辅助子系统故障，不影响主要业务系统使用</w:t>
            </w:r>
          </w:p>
        </w:tc>
      </w:tr>
    </w:tbl>
    <w:p w14:paraId="5D82D39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20"/>
      <w:bookmarkStart w:id="35" w:name="_Toc15201"/>
      <w:r>
        <w:t>响应时限</w:t>
      </w:r>
      <w:bookmarkEnd w:id="34"/>
      <w:bookmarkEnd w:id="3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44"/>
        <w:gridCol w:w="2379"/>
        <w:gridCol w:w="1945"/>
        <w:gridCol w:w="1946"/>
      </w:tblGrid>
      <w:tr w14:paraId="30220A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4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CD1A7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23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3DD5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响应要求</w:t>
            </w:r>
          </w:p>
        </w:tc>
        <w:tc>
          <w:tcPr>
            <w:tcW w:w="19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4B04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寄送时限</w:t>
            </w:r>
          </w:p>
        </w:tc>
        <w:tc>
          <w:tcPr>
            <w:tcW w:w="19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B111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送达时限</w:t>
            </w:r>
          </w:p>
        </w:tc>
      </w:tr>
      <w:tr w14:paraId="219EB0B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4214C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一级故障</w:t>
            </w:r>
          </w:p>
        </w:tc>
        <w:tc>
          <w:tcPr>
            <w:tcW w:w="23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44925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24小时响应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80F17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≤4小时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9F84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≤12小时</w:t>
            </w:r>
          </w:p>
        </w:tc>
      </w:tr>
      <w:tr w14:paraId="11AB79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E37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二级故障</w:t>
            </w:r>
          </w:p>
        </w:tc>
        <w:tc>
          <w:tcPr>
            <w:tcW w:w="23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B74E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24小时响应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F3B1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≤8小时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D19D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≤24小时</w:t>
            </w:r>
          </w:p>
        </w:tc>
      </w:tr>
      <w:tr w14:paraId="47A588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D3DF4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三级故障</w:t>
            </w:r>
          </w:p>
        </w:tc>
        <w:tc>
          <w:tcPr>
            <w:tcW w:w="23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6F0BE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24小时响应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25E6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≤24小时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D25A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≤48小时</w:t>
            </w:r>
          </w:p>
        </w:tc>
      </w:tr>
    </w:tbl>
    <w:p w14:paraId="6215CE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ind w:left="0"/>
        <w:jc w:val="left"/>
        <w:textAlignment w:val="baseline"/>
      </w:pPr>
      <w:r>
        <w:rPr>
          <w:rFonts w:ascii="Arial" w:hAnsi="Arial" w:eastAsia="等线" w:cs="Arial"/>
          <w:b/>
          <w:sz w:val="22"/>
        </w:rPr>
        <w:t>注</w:t>
      </w:r>
      <w:r>
        <w:rPr>
          <w:rStyle w:val="44"/>
        </w:rPr>
        <w:t>：对在本地有项目备件库房的项目，24小时响应维护现场对备件的需求。</w:t>
      </w:r>
    </w:p>
    <w:p w14:paraId="79EFBD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21"/>
      <w:bookmarkStart w:id="37" w:name="_Toc1884"/>
      <w:r>
        <w:t>坏件送修管理</w:t>
      </w:r>
      <w:bookmarkEnd w:id="36"/>
      <w:bookmarkEnd w:id="37"/>
    </w:p>
    <w:p w14:paraId="143BABCC">
      <w:pPr>
        <w:pStyle w:val="42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设备发生故障需要送修，由项目维护人员填写故障原因信息并发起送修申请。</w:t>
      </w:r>
    </w:p>
    <w:p w14:paraId="73E85DED">
      <w:pPr>
        <w:pStyle w:val="42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经项目经理审核通过后，维护人员按要求填写送修单，同时将送修单及坏件发送到备品备件管理员。</w:t>
      </w:r>
    </w:p>
    <w:p w14:paraId="58A84813">
      <w:pPr>
        <w:pStyle w:val="42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坏件修复后，返回到运维部备品备件库，运维部根据送修单将好件返回到送修方。</w:t>
      </w:r>
    </w:p>
    <w:p w14:paraId="0F83FC96">
      <w:pPr>
        <w:pStyle w:val="42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送修过程中发生的物流费用由备件实物发出方负责。</w:t>
      </w:r>
    </w:p>
    <w:p w14:paraId="51C998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2"/>
      <w:bookmarkStart w:id="39" w:name="_Toc26916"/>
      <w:r>
        <w:t>备品备件报废管理</w:t>
      </w:r>
      <w:bookmarkEnd w:id="38"/>
      <w:bookmarkEnd w:id="39"/>
    </w:p>
    <w:p w14:paraId="0C77C780">
      <w:pPr>
        <w:pStyle w:val="42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当备件无法修复或不具有使用价值时，应及时进行报废处理。</w:t>
      </w:r>
    </w:p>
    <w:p w14:paraId="66094A72">
      <w:pPr>
        <w:pStyle w:val="42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备件报废由备件所属的项目组发起报废申请，提交运维部审批确认。</w:t>
      </w:r>
    </w:p>
    <w:p w14:paraId="64895748">
      <w:pPr>
        <w:pStyle w:val="42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审批通过后由备品备件管理员将废件转入报废库。</w:t>
      </w:r>
    </w:p>
    <w:p w14:paraId="545AE024">
      <w:pPr>
        <w:pStyle w:val="42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需报废的备品备件如属固定资产，应按照公司固定资产报废流程执行。</w:t>
      </w:r>
    </w:p>
    <w:p w14:paraId="56B1CE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27159"/>
      <w:bookmarkStart w:id="41" w:name="heading_23"/>
      <w:r>
        <w:t>备品备件检测</w:t>
      </w:r>
      <w:bookmarkEnd w:id="40"/>
      <w:bookmarkEnd w:id="41"/>
    </w:p>
    <w:p w14:paraId="04F1248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备品备件检测分为三种：新购备件的验收检测、使用前的可用性检测、定期可用性检测。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0"/>
        <w:gridCol w:w="4436"/>
        <w:gridCol w:w="2218"/>
      </w:tblGrid>
      <w:tr w14:paraId="66517BE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6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33418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检测类型</w:t>
            </w:r>
          </w:p>
        </w:tc>
        <w:tc>
          <w:tcPr>
            <w:tcW w:w="44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24144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执行方式</w:t>
            </w:r>
          </w:p>
        </w:tc>
        <w:tc>
          <w:tcPr>
            <w:tcW w:w="221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AD033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记录要求</w:t>
            </w:r>
          </w:p>
        </w:tc>
      </w:tr>
      <w:tr w14:paraId="3AC5641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3BC2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新购验收检测</w:t>
            </w:r>
          </w:p>
        </w:tc>
        <w:tc>
          <w:tcPr>
            <w:tcW w:w="4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7720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核对数量、型号、合格证、外观；有功能要求的需单独测试</w:t>
            </w:r>
          </w:p>
        </w:tc>
        <w:tc>
          <w:tcPr>
            <w:tcW w:w="22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3DAB5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填写《备品备件验收记录》</w:t>
            </w:r>
          </w:p>
        </w:tc>
      </w:tr>
      <w:tr w14:paraId="7B7E0B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3512E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使用前可用性检测</w:t>
            </w:r>
          </w:p>
        </w:tc>
        <w:tc>
          <w:tcPr>
            <w:tcW w:w="4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51294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出库前进行可用性检测，邮寄出库需做好防护</w:t>
            </w:r>
          </w:p>
        </w:tc>
        <w:tc>
          <w:tcPr>
            <w:tcW w:w="22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07C2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填写《备品备件检测记录》</w:t>
            </w:r>
          </w:p>
        </w:tc>
      </w:tr>
      <w:tr w14:paraId="132A93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439A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定期可用性检测</w:t>
            </w:r>
          </w:p>
        </w:tc>
        <w:tc>
          <w:tcPr>
            <w:tcW w:w="44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DDBE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每年进行一次分类全检和抽检，抽检比例≥同类型备件的25%</w:t>
            </w:r>
          </w:p>
        </w:tc>
        <w:tc>
          <w:tcPr>
            <w:tcW w:w="22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4B07C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填写《备品备件抽检单》</w:t>
            </w:r>
          </w:p>
        </w:tc>
      </w:tr>
    </w:tbl>
    <w:p w14:paraId="4802817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4"/>
      <w:bookmarkStart w:id="43" w:name="_Toc19981"/>
      <w:r>
        <w:t>检查及考核</w:t>
      </w:r>
      <w:bookmarkEnd w:id="42"/>
      <w:bookmarkEnd w:id="43"/>
    </w:p>
    <w:p w14:paraId="49DAA4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_Toc8362"/>
      <w:bookmarkStart w:id="45" w:name="heading_25"/>
      <w:r>
        <w:t>考核指标</w:t>
      </w:r>
      <w:bookmarkEnd w:id="44"/>
      <w:bookmarkEnd w:id="4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8"/>
        <w:gridCol w:w="4234"/>
        <w:gridCol w:w="966"/>
        <w:gridCol w:w="1206"/>
      </w:tblGrid>
      <w:tr w14:paraId="716291C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0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3E2D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指标名称</w:t>
            </w:r>
          </w:p>
        </w:tc>
        <w:tc>
          <w:tcPr>
            <w:tcW w:w="42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BF4BA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计算公式</w:t>
            </w:r>
          </w:p>
        </w:tc>
        <w:tc>
          <w:tcPr>
            <w:tcW w:w="9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B9FC9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2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8CFE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测量周期</w:t>
            </w:r>
          </w:p>
        </w:tc>
      </w:tr>
      <w:tr w14:paraId="1E26B37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F541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备件可用率</w:t>
            </w:r>
          </w:p>
        </w:tc>
        <w:tc>
          <w:tcPr>
            <w:tcW w:w="42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50A5D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（领用备件完好数量 / 领用备件总数）× 100%</w:t>
            </w:r>
          </w:p>
        </w:tc>
        <w:tc>
          <w:tcPr>
            <w:tcW w:w="9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D0BE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11517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</w:tr>
      <w:tr w14:paraId="67B3E63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D004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备件出入库准确率</w:t>
            </w:r>
          </w:p>
        </w:tc>
        <w:tc>
          <w:tcPr>
            <w:tcW w:w="4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DE62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（准确出入库记录数 / 总出入库记录数）× 100%</w:t>
            </w:r>
          </w:p>
        </w:tc>
        <w:tc>
          <w:tcPr>
            <w:tcW w:w="9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35F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≥98%</w:t>
            </w:r>
          </w:p>
        </w:tc>
        <w:tc>
          <w:tcPr>
            <w:tcW w:w="12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F485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</w:t>
            </w:r>
          </w:p>
        </w:tc>
      </w:tr>
    </w:tbl>
    <w:p w14:paraId="16F0ED6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6"/>
      <w:bookmarkStart w:id="47" w:name="_Toc21637"/>
      <w:r>
        <w:t>检查机制</w:t>
      </w:r>
      <w:bookmarkEnd w:id="46"/>
      <w:bookmarkEnd w:id="47"/>
    </w:p>
    <w:p w14:paraId="38279E07">
      <w:pPr>
        <w:pStyle w:val="42"/>
        <w:numPr>
          <w:ilvl w:val="0"/>
          <w:numId w:val="15"/>
        </w:numPr>
        <w:bidi w:val="0"/>
        <w:ind w:left="425" w:leftChars="0" w:hanging="425" w:firstLineChars="0"/>
      </w:pPr>
      <w:r>
        <w:t>运维部负责全公司备件管理工作的检查和考核，主要检查和考核备件可用率及出入库准确率。</w:t>
      </w:r>
    </w:p>
    <w:p w14:paraId="2FEB2DDA">
      <w:pPr>
        <w:pStyle w:val="42"/>
        <w:numPr>
          <w:ilvl w:val="0"/>
          <w:numId w:val="15"/>
        </w:numPr>
        <w:bidi w:val="0"/>
        <w:ind w:left="425" w:leftChars="0" w:hanging="425" w:firstLineChars="0"/>
      </w:pPr>
      <w:r>
        <w:t>每年抽查各项目组的备件可用率，检查结果由质量管理部通报。</w:t>
      </w:r>
    </w:p>
    <w:p w14:paraId="04BB658E">
      <w:pPr>
        <w:pStyle w:val="42"/>
        <w:numPr>
          <w:ilvl w:val="0"/>
          <w:numId w:val="15"/>
        </w:numPr>
        <w:bidi w:val="0"/>
        <w:ind w:left="425" w:leftChars="0" w:hanging="425" w:firstLineChars="0"/>
      </w:pPr>
      <w:r>
        <w:t>对未达标的项目组，应制定改进计划并跟踪落实。</w:t>
      </w:r>
    </w:p>
    <w:p w14:paraId="4B5024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7"/>
      <w:bookmarkStart w:id="49" w:name="_Toc83"/>
      <w:r>
        <w:t>记录</w:t>
      </w:r>
      <w:bookmarkEnd w:id="48"/>
      <w:bookmarkEnd w:id="4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87"/>
        <w:gridCol w:w="1863"/>
        <w:gridCol w:w="1864"/>
      </w:tblGrid>
      <w:tr w14:paraId="5D86384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F45D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记录名称</w:t>
            </w:r>
          </w:p>
        </w:tc>
        <w:tc>
          <w:tcPr>
            <w:tcW w:w="18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4BEA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保存部门</w:t>
            </w:r>
          </w:p>
        </w:tc>
        <w:tc>
          <w:tcPr>
            <w:tcW w:w="186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B16F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保存期限</w:t>
            </w:r>
          </w:p>
        </w:tc>
      </w:tr>
      <w:tr w14:paraId="11AFF0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AADA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《备品备件出入库单》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E73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F8CF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008C66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69B7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《备品备件领用单》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63E1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368F9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50DA54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E035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《备品备件验收记录》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833B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644E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5AB6250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9F98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《备品备件检测记录》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0C7B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E61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77052D6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19AE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《备品备件抽检单》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7C53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3D6E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4D33EE7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B8B3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《备品备件报废申请单》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ADC6C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F8B7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</w:tbl>
    <w:p w14:paraId="529333A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heading_28"/>
      <w:bookmarkStart w:id="51" w:name="_Toc1913"/>
      <w:r>
        <w:t>附则</w:t>
      </w:r>
      <w:bookmarkEnd w:id="50"/>
      <w:bookmarkEnd w:id="51"/>
    </w:p>
    <w:p w14:paraId="42AC398B">
      <w:pPr>
        <w:pStyle w:val="42"/>
        <w:numPr>
          <w:ilvl w:val="0"/>
          <w:numId w:val="16"/>
        </w:numPr>
        <w:bidi w:val="0"/>
        <w:ind w:left="425" w:leftChars="0" w:hanging="425" w:firstLineChars="0"/>
      </w:pPr>
      <w:r>
        <w:t>本制度自发布之日起执行，由运维部负责解释与修订。</w:t>
      </w:r>
    </w:p>
    <w:p w14:paraId="3D632904">
      <w:pPr>
        <w:pStyle w:val="42"/>
        <w:numPr>
          <w:ilvl w:val="0"/>
          <w:numId w:val="1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本制度与《运维服务工具管理制度》、《服务数据管理制度》等配套使用。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F4CAA0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EE80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D7D7BF"/>
    <w:multiLevelType w:val="singleLevel"/>
    <w:tmpl w:val="A2D7D7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346D34A"/>
    <w:multiLevelType w:val="singleLevel"/>
    <w:tmpl w:val="C346D34A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C9E38A24"/>
    <w:multiLevelType w:val="singleLevel"/>
    <w:tmpl w:val="C9E38A2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56C076B"/>
    <w:multiLevelType w:val="singleLevel"/>
    <w:tmpl w:val="E56C07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825CD53"/>
    <w:multiLevelType w:val="singleLevel"/>
    <w:tmpl w:val="F825CD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7B44E19"/>
    <w:multiLevelType w:val="singleLevel"/>
    <w:tmpl w:val="17B44E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FBF02B4"/>
    <w:multiLevelType w:val="singleLevel"/>
    <w:tmpl w:val="2FBF02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678C24B"/>
    <w:multiLevelType w:val="singleLevel"/>
    <w:tmpl w:val="3678C2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D65F84A"/>
    <w:multiLevelType w:val="singleLevel"/>
    <w:tmpl w:val="3D65F8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673C9DF"/>
    <w:multiLevelType w:val="singleLevel"/>
    <w:tmpl w:val="4673C9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474FE83"/>
    <w:multiLevelType w:val="singleLevel"/>
    <w:tmpl w:val="5474FE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80A42DA"/>
    <w:multiLevelType w:val="singleLevel"/>
    <w:tmpl w:val="580A42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73766C3C"/>
    <w:multiLevelType w:val="singleLevel"/>
    <w:tmpl w:val="73766C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70BEF08"/>
    <w:multiLevelType w:val="singleLevel"/>
    <w:tmpl w:val="770BEF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F2555D0"/>
    <w:multiLevelType w:val="singleLevel"/>
    <w:tmpl w:val="7F2555D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5"/>
  </w:num>
  <w:num w:numId="4">
    <w:abstractNumId w:val="6"/>
  </w:num>
  <w:num w:numId="5">
    <w:abstractNumId w:val="13"/>
  </w:num>
  <w:num w:numId="6">
    <w:abstractNumId w:val="8"/>
  </w:num>
  <w:num w:numId="7">
    <w:abstractNumId w:val="7"/>
  </w:num>
  <w:num w:numId="8">
    <w:abstractNumId w:val="4"/>
  </w:num>
  <w:num w:numId="9">
    <w:abstractNumId w:val="2"/>
  </w:num>
  <w:num w:numId="10">
    <w:abstractNumId w:val="15"/>
  </w:num>
  <w:num w:numId="11">
    <w:abstractNumId w:val="3"/>
  </w:num>
  <w:num w:numId="12">
    <w:abstractNumId w:val="14"/>
  </w:num>
  <w:num w:numId="13">
    <w:abstractNumId w:val="12"/>
  </w:num>
  <w:num w:numId="14">
    <w:abstractNumId w:val="9"/>
  </w:num>
  <w:num w:numId="15">
    <w:abstractNumId w:val="1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4A371D"/>
    <w:rsid w:val="07455103"/>
    <w:rsid w:val="07830DF3"/>
    <w:rsid w:val="07972AF0"/>
    <w:rsid w:val="09BA43FD"/>
    <w:rsid w:val="0A514A3E"/>
    <w:rsid w:val="15250A80"/>
    <w:rsid w:val="155658B8"/>
    <w:rsid w:val="17B3103B"/>
    <w:rsid w:val="19CC3B07"/>
    <w:rsid w:val="1F2E38E2"/>
    <w:rsid w:val="20D745D5"/>
    <w:rsid w:val="25311A36"/>
    <w:rsid w:val="28F039B6"/>
    <w:rsid w:val="2FC11763"/>
    <w:rsid w:val="36AC2EC0"/>
    <w:rsid w:val="371F5B92"/>
    <w:rsid w:val="39477622"/>
    <w:rsid w:val="39B12CEE"/>
    <w:rsid w:val="3A2775BC"/>
    <w:rsid w:val="40B437EF"/>
    <w:rsid w:val="4C0A69B9"/>
    <w:rsid w:val="4E125FF9"/>
    <w:rsid w:val="57347DA8"/>
    <w:rsid w:val="5A0D5E39"/>
    <w:rsid w:val="5F7750F8"/>
    <w:rsid w:val="63D1721C"/>
    <w:rsid w:val="68EA5751"/>
    <w:rsid w:val="69EC54F9"/>
    <w:rsid w:val="6BD24766"/>
    <w:rsid w:val="6F8C3549"/>
    <w:rsid w:val="736C39B9"/>
    <w:rsid w:val="738D1AFA"/>
    <w:rsid w:val="777A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table" w:customStyle="1" w:styleId="41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2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3248</Words>
  <Characters>3415</Characters>
  <Lines>0</Lines>
  <Paragraphs>0</Paragraphs>
  <TotalTime>0</TotalTime>
  <ScaleCrop>false</ScaleCrop>
  <LinksUpToDate>false</LinksUpToDate>
  <CharactersWithSpaces>3529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2026-04-24T18:14:01Z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