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137EFB">
      <w:pPr>
        <w:pStyle w:val="25"/>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882"/>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71AE1BDA">
      <w:pPr>
        <w:pStyle w:val="26"/>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7482"/>
      <w:r>
        <w:rPr>
          <w:rFonts w:hint="eastAsia"/>
          <w:lang w:val="en-US" w:eastAsia="zh-CN"/>
        </w:rPr>
        <w:t>运维工具应用情况说明</w:t>
      </w:r>
      <w:bookmarkEnd w:id="1"/>
    </w:p>
    <w:p w14:paraId="145F2F69">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7-2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69088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17CE0FA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0DE91B3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07822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55304E1">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V2.</w:t>
            </w:r>
            <w:r>
              <w:rPr>
                <w:rFonts w:hint="eastAsia"/>
                <w:spacing w:val="0"/>
                <w:kern w:val="0"/>
                <w:u w:val="single"/>
                <w:vertAlign w:val="baseline"/>
                <w:lang w:val="en-US" w:eastAsia="zh-CN"/>
              </w:rPr>
              <w:t>0</w:t>
            </w:r>
          </w:p>
        </w:tc>
        <w:tc>
          <w:tcPr>
            <w:tcW w:w="2708" w:type="dxa"/>
            <w:shd w:val="clear" w:color="auto" w:fill="auto"/>
          </w:tcPr>
          <w:p w14:paraId="3B9021E3">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113FE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269E28F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09E835F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bl>
    <w:p w14:paraId="3074CB00">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4C9C6C51">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7"/>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403949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2F6E4530">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07A391E5">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1643BDEB">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50B30C52">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1AB1B972">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55A44979">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36084D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4DFCF741">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w:t>
            </w:r>
            <w:r>
              <w:rPr>
                <w:rFonts w:hint="eastAsia" w:ascii="宋体" w:hAnsi="宋体" w:cs="宋体"/>
                <w:spacing w:val="3"/>
                <w:position w:val="1"/>
                <w:sz w:val="20"/>
                <w:szCs w:val="20"/>
                <w:lang w:val="en-US" w:eastAsia="zh-CN"/>
              </w:rPr>
              <w:t>3</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06</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72" w:type="dxa"/>
          </w:tcPr>
          <w:p w14:paraId="408126BD">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231C5BFF">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68C4DCF0">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程方</w:t>
            </w:r>
          </w:p>
        </w:tc>
        <w:tc>
          <w:tcPr>
            <w:tcW w:w="1606" w:type="dxa"/>
          </w:tcPr>
          <w:p w14:paraId="52DECC75">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57D8871E">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1EE702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shd w:val="clear" w:color="auto" w:fill="auto"/>
            <w:vAlign w:val="top"/>
          </w:tcPr>
          <w:p w14:paraId="0C345AA0">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72" w:type="dxa"/>
            <w:shd w:val="clear" w:color="auto" w:fill="auto"/>
            <w:vAlign w:val="top"/>
          </w:tcPr>
          <w:p w14:paraId="6FE3EB2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pacing w:val="4"/>
                <w:position w:val="1"/>
                <w:sz w:val="20"/>
                <w:szCs w:val="20"/>
              </w:rPr>
              <w:t>V</w:t>
            </w:r>
            <w:r>
              <w:rPr>
                <w:rFonts w:hint="eastAsia" w:ascii="宋体" w:hAnsi="宋体" w:cs="宋体"/>
                <w:spacing w:val="4"/>
                <w:position w:val="1"/>
                <w:sz w:val="20"/>
                <w:szCs w:val="20"/>
                <w:lang w:val="en-US" w:eastAsia="zh-CN"/>
              </w:rPr>
              <w:t>2</w:t>
            </w:r>
            <w:r>
              <w:rPr>
                <w:rFonts w:ascii="宋体" w:hAnsi="宋体" w:eastAsia="宋体" w:cs="宋体"/>
                <w:spacing w:val="4"/>
                <w:position w:val="1"/>
                <w:sz w:val="20"/>
                <w:szCs w:val="20"/>
              </w:rPr>
              <w:t>.0</w:t>
            </w:r>
          </w:p>
        </w:tc>
        <w:tc>
          <w:tcPr>
            <w:tcW w:w="1575" w:type="dxa"/>
            <w:shd w:val="clear" w:color="auto" w:fill="auto"/>
            <w:vAlign w:val="top"/>
          </w:tcPr>
          <w:p w14:paraId="05CBFE25">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hint="eastAsia" w:ascii="宋体" w:hAnsi="宋体" w:eastAsia="宋体" w:cs="宋体"/>
                <w:snapToGrid w:val="0"/>
                <w:color w:val="000000"/>
                <w:kern w:val="0"/>
                <w:sz w:val="20"/>
                <w:szCs w:val="20"/>
                <w:lang w:val="en-US" w:eastAsia="zh-CN" w:bidi="ar-SA"/>
              </w:rPr>
            </w:pPr>
            <w:r>
              <w:rPr>
                <w:rFonts w:hint="eastAsia"/>
                <w:lang w:val="en-US" w:eastAsia="zh-CN"/>
              </w:rPr>
              <w:t>更新</w:t>
            </w:r>
          </w:p>
        </w:tc>
        <w:tc>
          <w:tcPr>
            <w:tcW w:w="1829" w:type="dxa"/>
            <w:shd w:val="clear" w:color="auto" w:fill="auto"/>
            <w:vAlign w:val="top"/>
          </w:tcPr>
          <w:p w14:paraId="0ADA239D">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程方</w:t>
            </w:r>
          </w:p>
        </w:tc>
        <w:tc>
          <w:tcPr>
            <w:tcW w:w="1606" w:type="dxa"/>
            <w:shd w:val="clear" w:color="auto" w:fill="auto"/>
            <w:vAlign w:val="top"/>
          </w:tcPr>
          <w:p w14:paraId="5C3BD722">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茅建根</w:t>
            </w:r>
          </w:p>
        </w:tc>
        <w:tc>
          <w:tcPr>
            <w:tcW w:w="915" w:type="dxa"/>
            <w:shd w:val="clear" w:color="auto" w:fill="auto"/>
            <w:vAlign w:val="top"/>
          </w:tcPr>
          <w:p w14:paraId="7F4C60A2">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吴亚红</w:t>
            </w:r>
          </w:p>
        </w:tc>
      </w:tr>
      <w:tr w14:paraId="34CBAB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69241779">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4373BAA0">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6E03C6AE">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5649D891">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761433E6">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7A20C95B">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CF67F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77172FB0">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E61C3EB">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3C69617">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5CAAC808">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63505A8">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69F7C5F7">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25E8AFC7">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72B47CA">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7DD32589">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_Toc26882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_Toc26882 \h </w:instrText>
          </w:r>
          <w:r>
            <w:fldChar w:fldCharType="separate"/>
          </w:r>
          <w:r>
            <w:t>1</w:t>
          </w:r>
          <w:r>
            <w:fldChar w:fldCharType="end"/>
          </w:r>
          <w:r>
            <w:rPr>
              <w:rFonts w:hint="eastAsia" w:ascii="宋体" w:hAnsi="宋体" w:eastAsia="宋体" w:cs="宋体"/>
              <w:szCs w:val="24"/>
            </w:rPr>
            <w:fldChar w:fldCharType="end"/>
          </w:r>
        </w:p>
        <w:p w14:paraId="7125036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_Toc17482 </w:instrText>
          </w:r>
          <w:r>
            <w:rPr>
              <w:rFonts w:hint="eastAsia" w:ascii="宋体" w:hAnsi="宋体" w:eastAsia="宋体" w:cs="宋体"/>
              <w:szCs w:val="24"/>
            </w:rPr>
            <w:fldChar w:fldCharType="separate"/>
          </w:r>
          <w:r>
            <w:rPr>
              <w:rFonts w:hint="eastAsia"/>
              <w:lang w:val="en-US" w:eastAsia="zh-CN"/>
            </w:rPr>
            <w:t>运维工具应用情况说明</w:t>
          </w:r>
          <w:r>
            <w:tab/>
          </w:r>
          <w:r>
            <w:fldChar w:fldCharType="begin"/>
          </w:r>
          <w:r>
            <w:instrText xml:space="preserve"> PAGEREF _Toc17482 \h </w:instrText>
          </w:r>
          <w:r>
            <w:fldChar w:fldCharType="separate"/>
          </w:r>
          <w:r>
            <w:t>1</w:t>
          </w:r>
          <w:r>
            <w:fldChar w:fldCharType="end"/>
          </w:r>
          <w:r>
            <w:rPr>
              <w:rFonts w:hint="eastAsia" w:ascii="宋体" w:hAnsi="宋体" w:eastAsia="宋体" w:cs="宋体"/>
              <w:szCs w:val="24"/>
            </w:rPr>
            <w:fldChar w:fldCharType="end"/>
          </w:r>
        </w:p>
        <w:p w14:paraId="41F0CD4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_Toc3753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运维工具应用情况说明</w:t>
          </w:r>
          <w:r>
            <w:tab/>
          </w:r>
          <w:r>
            <w:fldChar w:fldCharType="begin"/>
          </w:r>
          <w:r>
            <w:instrText xml:space="preserve"> PAGEREF _Toc3753 \h </w:instrText>
          </w:r>
          <w:r>
            <w:fldChar w:fldCharType="separate"/>
          </w:r>
          <w:r>
            <w:t>4</w:t>
          </w:r>
          <w:r>
            <w:fldChar w:fldCharType="end"/>
          </w:r>
          <w:r>
            <w:rPr>
              <w:rFonts w:hint="eastAsia" w:ascii="宋体" w:hAnsi="宋体" w:eastAsia="宋体" w:cs="宋体"/>
              <w:szCs w:val="24"/>
            </w:rPr>
            <w:fldChar w:fldCharType="end"/>
          </w:r>
        </w:p>
        <w:p w14:paraId="2E95181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_Toc23388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运维工具列表</w:t>
          </w:r>
          <w:r>
            <w:tab/>
          </w:r>
          <w:r>
            <w:fldChar w:fldCharType="begin"/>
          </w:r>
          <w:r>
            <w:instrText xml:space="preserve"> PAGEREF _Toc23388 \h </w:instrText>
          </w:r>
          <w:r>
            <w:fldChar w:fldCharType="separate"/>
          </w:r>
          <w:r>
            <w:t>4</w:t>
          </w:r>
          <w:r>
            <w:fldChar w:fldCharType="end"/>
          </w:r>
          <w:r>
            <w:rPr>
              <w:rFonts w:hint="eastAsia" w:ascii="宋体" w:hAnsi="宋体" w:eastAsia="宋体" w:cs="宋体"/>
              <w:szCs w:val="24"/>
            </w:rPr>
            <w:fldChar w:fldCharType="end"/>
          </w:r>
        </w:p>
        <w:p w14:paraId="649C79F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_Toc28803 </w:instrText>
          </w:r>
          <w:r>
            <w:rPr>
              <w:rFonts w:hint="eastAsia" w:ascii="宋体" w:hAnsi="宋体" w:eastAsia="宋体" w:cs="宋体"/>
              <w:szCs w:val="24"/>
            </w:rPr>
            <w:fldChar w:fldCharType="separate"/>
          </w:r>
          <w:r>
            <w:rPr>
              <w:rFonts w:hint="eastAsia" w:ascii="宋体" w:hAnsi="宋体" w:eastAsia="宋体" w:cs="宋体"/>
              <w:szCs w:val="24"/>
              <w:lang w:val="en-US" w:eastAsia="zh-CN"/>
            </w:rPr>
            <w:t>编号</w:t>
          </w:r>
          <w:r>
            <w:tab/>
          </w:r>
          <w:r>
            <w:fldChar w:fldCharType="begin"/>
          </w:r>
          <w:r>
            <w:instrText xml:space="preserve"> PAGEREF _Toc28803 \h </w:instrText>
          </w:r>
          <w:r>
            <w:fldChar w:fldCharType="separate"/>
          </w:r>
          <w:r>
            <w:t>4</w:t>
          </w:r>
          <w:r>
            <w:fldChar w:fldCharType="end"/>
          </w:r>
          <w:r>
            <w:rPr>
              <w:rFonts w:hint="eastAsia" w:ascii="宋体" w:hAnsi="宋体" w:eastAsia="宋体" w:cs="宋体"/>
              <w:szCs w:val="24"/>
            </w:rPr>
            <w:fldChar w:fldCharType="end"/>
          </w:r>
        </w:p>
        <w:p w14:paraId="05E1B83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_Toc828 </w:instrText>
          </w:r>
          <w:r>
            <w:rPr>
              <w:rFonts w:hint="eastAsia" w:ascii="宋体" w:hAnsi="宋体" w:eastAsia="宋体" w:cs="宋体"/>
              <w:szCs w:val="24"/>
            </w:rPr>
            <w:fldChar w:fldCharType="separate"/>
          </w:r>
          <w:r>
            <w:rPr>
              <w:rFonts w:hint="eastAsia" w:ascii="宋体" w:hAnsi="宋体" w:eastAsia="宋体" w:cs="宋体"/>
              <w:szCs w:val="24"/>
              <w:lang w:val="en-US" w:eastAsia="zh-CN"/>
            </w:rPr>
            <w:t>工具类型</w:t>
          </w:r>
          <w:r>
            <w:tab/>
          </w:r>
          <w:r>
            <w:fldChar w:fldCharType="begin"/>
          </w:r>
          <w:r>
            <w:instrText xml:space="preserve"> PAGEREF _Toc828 \h </w:instrText>
          </w:r>
          <w:r>
            <w:fldChar w:fldCharType="separate"/>
          </w:r>
          <w:r>
            <w:t>4</w:t>
          </w:r>
          <w:r>
            <w:fldChar w:fldCharType="end"/>
          </w:r>
          <w:r>
            <w:rPr>
              <w:rFonts w:hint="eastAsia" w:ascii="宋体" w:hAnsi="宋体" w:eastAsia="宋体" w:cs="宋体"/>
              <w:szCs w:val="24"/>
            </w:rPr>
            <w:fldChar w:fldCharType="end"/>
          </w:r>
        </w:p>
        <w:p w14:paraId="0263FAF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_Toc18610 </w:instrText>
          </w:r>
          <w:r>
            <w:rPr>
              <w:rFonts w:hint="eastAsia" w:ascii="宋体" w:hAnsi="宋体" w:eastAsia="宋体" w:cs="宋体"/>
              <w:szCs w:val="24"/>
            </w:rPr>
            <w:fldChar w:fldCharType="separate"/>
          </w:r>
          <w:r>
            <w:rPr>
              <w:rFonts w:hint="eastAsia" w:ascii="宋体" w:hAnsi="宋体" w:eastAsia="宋体" w:cs="宋体"/>
              <w:szCs w:val="24"/>
            </w:rPr>
            <w:t>过程管理工具</w:t>
          </w:r>
          <w:r>
            <w:tab/>
          </w:r>
          <w:r>
            <w:fldChar w:fldCharType="begin"/>
          </w:r>
          <w:r>
            <w:instrText xml:space="preserve"> PAGEREF _Toc18610 \h </w:instrText>
          </w:r>
          <w:r>
            <w:fldChar w:fldCharType="separate"/>
          </w:r>
          <w:r>
            <w:t>4</w:t>
          </w:r>
          <w:r>
            <w:fldChar w:fldCharType="end"/>
          </w:r>
          <w:r>
            <w:rPr>
              <w:rFonts w:hint="eastAsia" w:ascii="宋体" w:hAnsi="宋体" w:eastAsia="宋体" w:cs="宋体"/>
              <w:szCs w:val="24"/>
            </w:rPr>
            <w:fldChar w:fldCharType="end"/>
          </w:r>
        </w:p>
        <w:p w14:paraId="0040484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_Toc25306 </w:instrText>
          </w:r>
          <w:r>
            <w:rPr>
              <w:rFonts w:hint="eastAsia" w:ascii="宋体" w:hAnsi="宋体" w:eastAsia="宋体" w:cs="宋体"/>
              <w:szCs w:val="24"/>
            </w:rPr>
            <w:fldChar w:fldCharType="separate"/>
          </w:r>
          <w:r>
            <w:rPr>
              <w:rFonts w:hint="eastAsia" w:ascii="宋体" w:hAnsi="宋体" w:eastAsia="宋体" w:cs="宋体"/>
              <w:szCs w:val="24"/>
            </w:rPr>
            <w:t>监控工具</w:t>
          </w:r>
          <w:r>
            <w:tab/>
          </w:r>
          <w:r>
            <w:fldChar w:fldCharType="begin"/>
          </w:r>
          <w:r>
            <w:instrText xml:space="preserve"> PAGEREF _Toc25306 \h </w:instrText>
          </w:r>
          <w:r>
            <w:fldChar w:fldCharType="separate"/>
          </w:r>
          <w:r>
            <w:t>4</w:t>
          </w:r>
          <w:r>
            <w:fldChar w:fldCharType="end"/>
          </w:r>
          <w:r>
            <w:rPr>
              <w:rFonts w:hint="eastAsia" w:ascii="宋体" w:hAnsi="宋体" w:eastAsia="宋体" w:cs="宋体"/>
              <w:szCs w:val="24"/>
            </w:rPr>
            <w:fldChar w:fldCharType="end"/>
          </w:r>
        </w:p>
        <w:p w14:paraId="088323B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_Toc27253 </w:instrText>
          </w:r>
          <w:r>
            <w:rPr>
              <w:rFonts w:hint="eastAsia" w:ascii="宋体" w:hAnsi="宋体" w:eastAsia="宋体" w:cs="宋体"/>
              <w:szCs w:val="24"/>
            </w:rPr>
            <w:fldChar w:fldCharType="separate"/>
          </w:r>
          <w:r>
            <w:rPr>
              <w:rFonts w:hint="eastAsia" w:ascii="宋体" w:hAnsi="宋体" w:eastAsia="宋体" w:cs="宋体"/>
              <w:szCs w:val="24"/>
              <w:lang w:val="en-US" w:eastAsia="zh-CN"/>
            </w:rPr>
            <w:t>服务知识工具</w:t>
          </w:r>
          <w:r>
            <w:tab/>
          </w:r>
          <w:r>
            <w:fldChar w:fldCharType="begin"/>
          </w:r>
          <w:r>
            <w:instrText xml:space="preserve"> PAGEREF _Toc27253 \h </w:instrText>
          </w:r>
          <w:r>
            <w:fldChar w:fldCharType="separate"/>
          </w:r>
          <w:r>
            <w:t>4</w:t>
          </w:r>
          <w:r>
            <w:fldChar w:fldCharType="end"/>
          </w:r>
          <w:r>
            <w:rPr>
              <w:rFonts w:hint="eastAsia" w:ascii="宋体" w:hAnsi="宋体" w:eastAsia="宋体" w:cs="宋体"/>
              <w:szCs w:val="24"/>
            </w:rPr>
            <w:fldChar w:fldCharType="end"/>
          </w:r>
        </w:p>
        <w:p w14:paraId="22CC495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_Toc20572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过程管理工具</w:t>
          </w:r>
          <w:r>
            <w:tab/>
          </w:r>
          <w:r>
            <w:fldChar w:fldCharType="begin"/>
          </w:r>
          <w:r>
            <w:instrText xml:space="preserve"> PAGEREF _Toc20572 \h </w:instrText>
          </w:r>
          <w:r>
            <w:fldChar w:fldCharType="separate"/>
          </w:r>
          <w:r>
            <w:t>4</w:t>
          </w:r>
          <w:r>
            <w:fldChar w:fldCharType="end"/>
          </w:r>
          <w:r>
            <w:rPr>
              <w:rFonts w:hint="eastAsia" w:ascii="宋体" w:hAnsi="宋体" w:eastAsia="宋体" w:cs="宋体"/>
              <w:szCs w:val="24"/>
            </w:rPr>
            <w:fldChar w:fldCharType="end"/>
          </w:r>
        </w:p>
        <w:p w14:paraId="1A19772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_Toc27571 </w:instrText>
          </w:r>
          <w:r>
            <w:rPr>
              <w:rFonts w:hint="eastAsia" w:ascii="宋体" w:hAnsi="宋体" w:eastAsia="宋体" w:cs="宋体"/>
              <w:szCs w:val="24"/>
            </w:rPr>
            <w:fldChar w:fldCharType="separate"/>
          </w:r>
          <w:r>
            <w:rPr>
              <w:rFonts w:hint="default"/>
              <w:lang w:val="en-US" w:eastAsia="zh-CN"/>
            </w:rPr>
            <w:t xml:space="preserve">3.1.1. </w:t>
          </w:r>
          <w:r>
            <w:rPr>
              <w:rFonts w:hint="eastAsia"/>
              <w:lang w:val="en-US" w:eastAsia="zh-CN"/>
            </w:rPr>
            <w:t>软件名称</w:t>
          </w:r>
          <w:r>
            <w:tab/>
          </w:r>
          <w:r>
            <w:fldChar w:fldCharType="begin"/>
          </w:r>
          <w:r>
            <w:instrText xml:space="preserve"> PAGEREF _Toc27571 \h </w:instrText>
          </w:r>
          <w:r>
            <w:fldChar w:fldCharType="separate"/>
          </w:r>
          <w:r>
            <w:t>4</w:t>
          </w:r>
          <w:r>
            <w:fldChar w:fldCharType="end"/>
          </w:r>
          <w:r>
            <w:rPr>
              <w:rFonts w:hint="eastAsia" w:ascii="宋体" w:hAnsi="宋体" w:eastAsia="宋体" w:cs="宋体"/>
              <w:szCs w:val="24"/>
            </w:rPr>
            <w:fldChar w:fldCharType="end"/>
          </w:r>
        </w:p>
        <w:p w14:paraId="1925345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_Toc10494 </w:instrText>
          </w:r>
          <w:r>
            <w:rPr>
              <w:rFonts w:hint="eastAsia" w:ascii="宋体" w:hAnsi="宋体" w:eastAsia="宋体" w:cs="宋体"/>
              <w:szCs w:val="24"/>
            </w:rPr>
            <w:fldChar w:fldCharType="separate"/>
          </w:r>
          <w:r>
            <w:rPr>
              <w:rFonts w:hint="default"/>
              <w:lang w:val="en-US" w:eastAsia="zh-CN"/>
            </w:rPr>
            <w:t xml:space="preserve">3.1.2. </w:t>
          </w:r>
          <w:r>
            <w:rPr>
              <w:rFonts w:hint="eastAsia"/>
              <w:lang w:val="en-US" w:eastAsia="zh-CN"/>
            </w:rPr>
            <w:t>软件来源</w:t>
          </w:r>
          <w:r>
            <w:tab/>
          </w:r>
          <w:r>
            <w:fldChar w:fldCharType="begin"/>
          </w:r>
          <w:r>
            <w:instrText xml:space="preserve"> PAGEREF _Toc10494 \h </w:instrText>
          </w:r>
          <w:r>
            <w:fldChar w:fldCharType="separate"/>
          </w:r>
          <w:r>
            <w:t>4</w:t>
          </w:r>
          <w:r>
            <w:fldChar w:fldCharType="end"/>
          </w:r>
          <w:r>
            <w:rPr>
              <w:rFonts w:hint="eastAsia" w:ascii="宋体" w:hAnsi="宋体" w:eastAsia="宋体" w:cs="宋体"/>
              <w:szCs w:val="24"/>
            </w:rPr>
            <w:fldChar w:fldCharType="end"/>
          </w:r>
        </w:p>
        <w:p w14:paraId="5271057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_Toc8158 </w:instrText>
          </w:r>
          <w:r>
            <w:rPr>
              <w:rFonts w:hint="eastAsia" w:ascii="宋体" w:hAnsi="宋体" w:eastAsia="宋体" w:cs="宋体"/>
              <w:szCs w:val="24"/>
            </w:rPr>
            <w:fldChar w:fldCharType="separate"/>
          </w:r>
          <w:r>
            <w:rPr>
              <w:rFonts w:hint="default"/>
              <w:lang w:val="en-US" w:eastAsia="zh-CN"/>
            </w:rPr>
            <w:t xml:space="preserve">3.1.3. </w:t>
          </w:r>
          <w:r>
            <w:rPr>
              <w:rFonts w:hint="eastAsia"/>
              <w:lang w:val="en-US" w:eastAsia="zh-CN"/>
            </w:rPr>
            <w:t>软件特色</w:t>
          </w:r>
          <w:r>
            <w:tab/>
          </w:r>
          <w:r>
            <w:fldChar w:fldCharType="begin"/>
          </w:r>
          <w:r>
            <w:instrText xml:space="preserve"> PAGEREF _Toc8158 \h </w:instrText>
          </w:r>
          <w:r>
            <w:fldChar w:fldCharType="separate"/>
          </w:r>
          <w:r>
            <w:t>4</w:t>
          </w:r>
          <w:r>
            <w:fldChar w:fldCharType="end"/>
          </w:r>
          <w:r>
            <w:rPr>
              <w:rFonts w:hint="eastAsia" w:ascii="宋体" w:hAnsi="宋体" w:eastAsia="宋体" w:cs="宋体"/>
              <w:szCs w:val="24"/>
            </w:rPr>
            <w:fldChar w:fldCharType="end"/>
          </w:r>
        </w:p>
        <w:p w14:paraId="437B895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_Toc22758 </w:instrText>
          </w:r>
          <w:r>
            <w:rPr>
              <w:rFonts w:hint="eastAsia" w:ascii="宋体" w:hAnsi="宋体" w:eastAsia="宋体" w:cs="宋体"/>
              <w:szCs w:val="24"/>
            </w:rPr>
            <w:fldChar w:fldCharType="separate"/>
          </w:r>
          <w:r>
            <w:rPr>
              <w:rFonts w:hint="default"/>
              <w:lang w:val="en-US" w:eastAsia="zh-CN"/>
            </w:rPr>
            <w:t xml:space="preserve">3.1.4. </w:t>
          </w:r>
          <w:r>
            <w:rPr>
              <w:rFonts w:hint="eastAsia"/>
              <w:lang w:val="en-US" w:eastAsia="zh-CN"/>
            </w:rPr>
            <w:t>功能介绍</w:t>
          </w:r>
          <w:r>
            <w:tab/>
          </w:r>
          <w:r>
            <w:fldChar w:fldCharType="begin"/>
          </w:r>
          <w:r>
            <w:instrText xml:space="preserve"> PAGEREF _Toc22758 \h </w:instrText>
          </w:r>
          <w:r>
            <w:fldChar w:fldCharType="separate"/>
          </w:r>
          <w:r>
            <w:t>4</w:t>
          </w:r>
          <w:r>
            <w:fldChar w:fldCharType="end"/>
          </w:r>
          <w:r>
            <w:rPr>
              <w:rFonts w:hint="eastAsia" w:ascii="宋体" w:hAnsi="宋体" w:eastAsia="宋体" w:cs="宋体"/>
              <w:szCs w:val="24"/>
            </w:rPr>
            <w:fldChar w:fldCharType="end"/>
          </w:r>
        </w:p>
        <w:p w14:paraId="484C3F8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_Toc5886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监控工具</w:t>
          </w:r>
          <w:r>
            <w:tab/>
          </w:r>
          <w:r>
            <w:fldChar w:fldCharType="begin"/>
          </w:r>
          <w:r>
            <w:instrText xml:space="preserve"> PAGEREF _Toc5886 \h </w:instrText>
          </w:r>
          <w:r>
            <w:fldChar w:fldCharType="separate"/>
          </w:r>
          <w:r>
            <w:t>8</w:t>
          </w:r>
          <w:r>
            <w:fldChar w:fldCharType="end"/>
          </w:r>
          <w:r>
            <w:rPr>
              <w:rFonts w:hint="eastAsia" w:ascii="宋体" w:hAnsi="宋体" w:eastAsia="宋体" w:cs="宋体"/>
              <w:szCs w:val="24"/>
            </w:rPr>
            <w:fldChar w:fldCharType="end"/>
          </w:r>
        </w:p>
        <w:p w14:paraId="6FF2A6E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_Toc6808 </w:instrText>
          </w:r>
          <w:r>
            <w:rPr>
              <w:rFonts w:hint="eastAsia" w:ascii="宋体" w:hAnsi="宋体" w:eastAsia="宋体" w:cs="宋体"/>
              <w:szCs w:val="24"/>
            </w:rPr>
            <w:fldChar w:fldCharType="separate"/>
          </w:r>
          <w:r>
            <w:rPr>
              <w:rFonts w:hint="default"/>
              <w:lang w:val="en-US" w:eastAsia="zh-CN"/>
            </w:rPr>
            <w:t xml:space="preserve">3.2.1. </w:t>
          </w:r>
          <w:r>
            <w:rPr>
              <w:rFonts w:hint="eastAsia"/>
              <w:lang w:val="en-US" w:eastAsia="zh-CN"/>
            </w:rPr>
            <w:t>软件名称</w:t>
          </w:r>
          <w:r>
            <w:tab/>
          </w:r>
          <w:r>
            <w:fldChar w:fldCharType="begin"/>
          </w:r>
          <w:r>
            <w:instrText xml:space="preserve"> PAGEREF _Toc6808 \h </w:instrText>
          </w:r>
          <w:r>
            <w:fldChar w:fldCharType="separate"/>
          </w:r>
          <w:r>
            <w:t>8</w:t>
          </w:r>
          <w:r>
            <w:fldChar w:fldCharType="end"/>
          </w:r>
          <w:r>
            <w:rPr>
              <w:rFonts w:hint="eastAsia" w:ascii="宋体" w:hAnsi="宋体" w:eastAsia="宋体" w:cs="宋体"/>
              <w:szCs w:val="24"/>
            </w:rPr>
            <w:fldChar w:fldCharType="end"/>
          </w:r>
        </w:p>
        <w:p w14:paraId="70D5F5D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_Toc10711 </w:instrText>
          </w:r>
          <w:r>
            <w:rPr>
              <w:rFonts w:hint="eastAsia" w:ascii="宋体" w:hAnsi="宋体" w:eastAsia="宋体" w:cs="宋体"/>
              <w:szCs w:val="24"/>
            </w:rPr>
            <w:fldChar w:fldCharType="separate"/>
          </w:r>
          <w:r>
            <w:rPr>
              <w:rFonts w:hint="default"/>
              <w:lang w:val="en-US" w:eastAsia="zh-CN"/>
            </w:rPr>
            <w:t xml:space="preserve">3.2.2. </w:t>
          </w:r>
          <w:r>
            <w:rPr>
              <w:rFonts w:hint="eastAsia"/>
              <w:lang w:val="en-US" w:eastAsia="zh-CN"/>
            </w:rPr>
            <w:t>软件来源</w:t>
          </w:r>
          <w:r>
            <w:tab/>
          </w:r>
          <w:r>
            <w:fldChar w:fldCharType="begin"/>
          </w:r>
          <w:r>
            <w:instrText xml:space="preserve"> PAGEREF _Toc10711 \h </w:instrText>
          </w:r>
          <w:r>
            <w:fldChar w:fldCharType="separate"/>
          </w:r>
          <w:r>
            <w:t>8</w:t>
          </w:r>
          <w:r>
            <w:fldChar w:fldCharType="end"/>
          </w:r>
          <w:r>
            <w:rPr>
              <w:rFonts w:hint="eastAsia" w:ascii="宋体" w:hAnsi="宋体" w:eastAsia="宋体" w:cs="宋体"/>
              <w:szCs w:val="24"/>
            </w:rPr>
            <w:fldChar w:fldCharType="end"/>
          </w:r>
        </w:p>
        <w:p w14:paraId="717B249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_Toc29412 </w:instrText>
          </w:r>
          <w:r>
            <w:rPr>
              <w:rFonts w:hint="eastAsia" w:ascii="宋体" w:hAnsi="宋体" w:eastAsia="宋体" w:cs="宋体"/>
              <w:szCs w:val="24"/>
            </w:rPr>
            <w:fldChar w:fldCharType="separate"/>
          </w:r>
          <w:r>
            <w:rPr>
              <w:rFonts w:hint="default"/>
              <w:lang w:val="en-US" w:eastAsia="zh-CN"/>
            </w:rPr>
            <w:t xml:space="preserve">3.2.3. </w:t>
          </w:r>
          <w:r>
            <w:rPr>
              <w:rFonts w:hint="eastAsia"/>
              <w:lang w:val="en-US" w:eastAsia="zh-CN"/>
            </w:rPr>
            <w:t>软件特色</w:t>
          </w:r>
          <w:r>
            <w:tab/>
          </w:r>
          <w:r>
            <w:fldChar w:fldCharType="begin"/>
          </w:r>
          <w:r>
            <w:instrText xml:space="preserve"> PAGEREF _Toc29412 \h </w:instrText>
          </w:r>
          <w:r>
            <w:fldChar w:fldCharType="separate"/>
          </w:r>
          <w:r>
            <w:t>8</w:t>
          </w:r>
          <w:r>
            <w:fldChar w:fldCharType="end"/>
          </w:r>
          <w:r>
            <w:rPr>
              <w:rFonts w:hint="eastAsia" w:ascii="宋体" w:hAnsi="宋体" w:eastAsia="宋体" w:cs="宋体"/>
              <w:szCs w:val="24"/>
            </w:rPr>
            <w:fldChar w:fldCharType="end"/>
          </w:r>
        </w:p>
        <w:p w14:paraId="493D052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_Toc9358 </w:instrText>
          </w:r>
          <w:r>
            <w:rPr>
              <w:rFonts w:hint="eastAsia" w:ascii="宋体" w:hAnsi="宋体" w:eastAsia="宋体" w:cs="宋体"/>
              <w:szCs w:val="24"/>
            </w:rPr>
            <w:fldChar w:fldCharType="separate"/>
          </w:r>
          <w:r>
            <w:rPr>
              <w:rFonts w:hint="default"/>
              <w:lang w:val="en-US" w:eastAsia="zh-CN"/>
            </w:rPr>
            <w:t xml:space="preserve">3.2.4. </w:t>
          </w:r>
          <w:r>
            <w:rPr>
              <w:rFonts w:hint="eastAsia"/>
              <w:lang w:val="en-US" w:eastAsia="zh-CN"/>
            </w:rPr>
            <w:t>功能介绍</w:t>
          </w:r>
          <w:r>
            <w:tab/>
          </w:r>
          <w:r>
            <w:fldChar w:fldCharType="begin"/>
          </w:r>
          <w:r>
            <w:instrText xml:space="preserve"> PAGEREF _Toc9358 \h </w:instrText>
          </w:r>
          <w:r>
            <w:fldChar w:fldCharType="separate"/>
          </w:r>
          <w:r>
            <w:t>8</w:t>
          </w:r>
          <w:r>
            <w:fldChar w:fldCharType="end"/>
          </w:r>
          <w:r>
            <w:rPr>
              <w:rFonts w:hint="eastAsia" w:ascii="宋体" w:hAnsi="宋体" w:eastAsia="宋体" w:cs="宋体"/>
              <w:szCs w:val="24"/>
            </w:rPr>
            <w:fldChar w:fldCharType="end"/>
          </w:r>
        </w:p>
        <w:p w14:paraId="2B3C37C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_Toc21904 </w:instrText>
          </w:r>
          <w:r>
            <w:rPr>
              <w:rFonts w:hint="eastAsia" w:ascii="宋体" w:hAnsi="宋体" w:eastAsia="宋体" w:cs="宋体"/>
              <w:szCs w:val="24"/>
            </w:rPr>
            <w:fldChar w:fldCharType="separate"/>
          </w:r>
          <w:r>
            <w:rPr>
              <w:rFonts w:hint="default"/>
              <w:lang w:val="en-US" w:eastAsia="zh-CN"/>
            </w:rPr>
            <w:t xml:space="preserve">3.3. </w:t>
          </w:r>
          <w:r>
            <w:rPr>
              <w:rFonts w:hint="eastAsia"/>
              <w:lang w:val="en-US" w:eastAsia="zh-CN"/>
            </w:rPr>
            <w:t>服务知识工具</w:t>
          </w:r>
          <w:r>
            <w:tab/>
          </w:r>
          <w:r>
            <w:fldChar w:fldCharType="begin"/>
          </w:r>
          <w:r>
            <w:instrText xml:space="preserve"> PAGEREF _Toc21904 \h </w:instrText>
          </w:r>
          <w:r>
            <w:fldChar w:fldCharType="separate"/>
          </w:r>
          <w:r>
            <w:t>14</w:t>
          </w:r>
          <w:r>
            <w:fldChar w:fldCharType="end"/>
          </w:r>
          <w:r>
            <w:rPr>
              <w:rFonts w:hint="eastAsia" w:ascii="宋体" w:hAnsi="宋体" w:eastAsia="宋体" w:cs="宋体"/>
              <w:szCs w:val="24"/>
            </w:rPr>
            <w:fldChar w:fldCharType="end"/>
          </w:r>
        </w:p>
        <w:p w14:paraId="54C59D5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_Toc27454 </w:instrText>
          </w:r>
          <w:r>
            <w:rPr>
              <w:rFonts w:hint="eastAsia" w:ascii="宋体" w:hAnsi="宋体" w:eastAsia="宋体" w:cs="宋体"/>
              <w:szCs w:val="24"/>
            </w:rPr>
            <w:fldChar w:fldCharType="separate"/>
          </w:r>
          <w:r>
            <w:rPr>
              <w:rFonts w:hint="default"/>
              <w:lang w:val="en-US" w:eastAsia="zh-CN"/>
            </w:rPr>
            <w:t xml:space="preserve">3.3.1. </w:t>
          </w:r>
          <w:r>
            <w:rPr>
              <w:rFonts w:hint="eastAsia"/>
              <w:lang w:val="en-US" w:eastAsia="zh-CN"/>
            </w:rPr>
            <w:t>软件名称</w:t>
          </w:r>
          <w:r>
            <w:tab/>
          </w:r>
          <w:r>
            <w:fldChar w:fldCharType="begin"/>
          </w:r>
          <w:r>
            <w:instrText xml:space="preserve"> PAGEREF _Toc27454 \h </w:instrText>
          </w:r>
          <w:r>
            <w:fldChar w:fldCharType="separate"/>
          </w:r>
          <w:r>
            <w:t>14</w:t>
          </w:r>
          <w:r>
            <w:fldChar w:fldCharType="end"/>
          </w:r>
          <w:r>
            <w:rPr>
              <w:rFonts w:hint="eastAsia" w:ascii="宋体" w:hAnsi="宋体" w:eastAsia="宋体" w:cs="宋体"/>
              <w:szCs w:val="24"/>
            </w:rPr>
            <w:fldChar w:fldCharType="end"/>
          </w:r>
        </w:p>
        <w:p w14:paraId="1713EBD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 </w:instrText>
          </w:r>
          <w:r>
            <w:rPr>
              <w:rFonts w:hint="eastAsia" w:ascii="宋体" w:hAnsi="宋体" w:eastAsia="宋体" w:cs="宋体"/>
              <w:szCs w:val="24"/>
            </w:rPr>
            <w:fldChar w:fldCharType="separate"/>
          </w:r>
          <w:r>
            <w:rPr>
              <w:rFonts w:hint="default"/>
              <w:lang w:val="en-US" w:eastAsia="zh-CN"/>
            </w:rPr>
            <w:t xml:space="preserve">3.3.2. </w:t>
          </w:r>
          <w:r>
            <w:rPr>
              <w:rFonts w:hint="eastAsia"/>
              <w:lang w:val="en-US" w:eastAsia="zh-CN"/>
            </w:rPr>
            <w:t>软件来源</w:t>
          </w:r>
          <w:r>
            <w:tab/>
          </w:r>
          <w:r>
            <w:fldChar w:fldCharType="begin"/>
          </w:r>
          <w:r>
            <w:instrText xml:space="preserve"> PAGEREF _Toc10 \h </w:instrText>
          </w:r>
          <w:r>
            <w:fldChar w:fldCharType="separate"/>
          </w:r>
          <w:r>
            <w:t>14</w:t>
          </w:r>
          <w:r>
            <w:fldChar w:fldCharType="end"/>
          </w:r>
          <w:r>
            <w:rPr>
              <w:rFonts w:hint="eastAsia" w:ascii="宋体" w:hAnsi="宋体" w:eastAsia="宋体" w:cs="宋体"/>
              <w:szCs w:val="24"/>
            </w:rPr>
            <w:fldChar w:fldCharType="end"/>
          </w:r>
        </w:p>
        <w:p w14:paraId="72E5C15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_Toc4178 </w:instrText>
          </w:r>
          <w:r>
            <w:rPr>
              <w:rFonts w:hint="eastAsia" w:ascii="宋体" w:hAnsi="宋体" w:eastAsia="宋体" w:cs="宋体"/>
              <w:szCs w:val="24"/>
            </w:rPr>
            <w:fldChar w:fldCharType="separate"/>
          </w:r>
          <w:r>
            <w:rPr>
              <w:rFonts w:hint="default"/>
              <w:lang w:val="en-US" w:eastAsia="zh-CN"/>
            </w:rPr>
            <w:t xml:space="preserve">3.3.3. </w:t>
          </w:r>
          <w:r>
            <w:rPr>
              <w:rFonts w:hint="eastAsia"/>
              <w:lang w:val="en-US" w:eastAsia="zh-CN"/>
            </w:rPr>
            <w:t>软件特色</w:t>
          </w:r>
          <w:r>
            <w:tab/>
          </w:r>
          <w:r>
            <w:fldChar w:fldCharType="begin"/>
          </w:r>
          <w:r>
            <w:instrText xml:space="preserve"> PAGEREF _Toc4178 \h </w:instrText>
          </w:r>
          <w:r>
            <w:fldChar w:fldCharType="separate"/>
          </w:r>
          <w:r>
            <w:t>14</w:t>
          </w:r>
          <w:r>
            <w:fldChar w:fldCharType="end"/>
          </w:r>
          <w:r>
            <w:rPr>
              <w:rFonts w:hint="eastAsia" w:ascii="宋体" w:hAnsi="宋体" w:eastAsia="宋体" w:cs="宋体"/>
              <w:szCs w:val="24"/>
            </w:rPr>
            <w:fldChar w:fldCharType="end"/>
          </w:r>
        </w:p>
        <w:p w14:paraId="62A7060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_Toc17121 </w:instrText>
          </w:r>
          <w:r>
            <w:rPr>
              <w:rFonts w:hint="eastAsia" w:ascii="宋体" w:hAnsi="宋体" w:eastAsia="宋体" w:cs="宋体"/>
              <w:szCs w:val="24"/>
            </w:rPr>
            <w:fldChar w:fldCharType="separate"/>
          </w:r>
          <w:r>
            <w:rPr>
              <w:rFonts w:hint="default"/>
              <w:lang w:val="en-US" w:eastAsia="zh-CN"/>
            </w:rPr>
            <w:t xml:space="preserve">3.3.4. </w:t>
          </w:r>
          <w:r>
            <w:rPr>
              <w:rFonts w:hint="eastAsia"/>
              <w:lang w:val="en-US" w:eastAsia="zh-CN"/>
            </w:rPr>
            <w:t>功能介绍</w:t>
          </w:r>
          <w:r>
            <w:tab/>
          </w:r>
          <w:r>
            <w:fldChar w:fldCharType="begin"/>
          </w:r>
          <w:r>
            <w:instrText xml:space="preserve"> PAGEREF _Toc17121 \h </w:instrText>
          </w:r>
          <w:r>
            <w:fldChar w:fldCharType="separate"/>
          </w:r>
          <w:r>
            <w:t>14</w:t>
          </w:r>
          <w:r>
            <w:fldChar w:fldCharType="end"/>
          </w:r>
          <w:r>
            <w:rPr>
              <w:rFonts w:hint="eastAsia" w:ascii="宋体" w:hAnsi="宋体" w:eastAsia="宋体" w:cs="宋体"/>
              <w:szCs w:val="24"/>
            </w:rPr>
            <w:fldChar w:fldCharType="end"/>
          </w:r>
        </w:p>
        <w:p w14:paraId="0B64B61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_Toc21162 </w:instrText>
          </w:r>
          <w:r>
            <w:rPr>
              <w:rFonts w:hint="eastAsia" w:ascii="宋体" w:hAnsi="宋体" w:eastAsia="宋体" w:cs="宋体"/>
              <w:szCs w:val="24"/>
            </w:rPr>
            <w:fldChar w:fldCharType="separate"/>
          </w:r>
          <w:r>
            <w:rPr>
              <w:rFonts w:hint="default"/>
              <w:lang w:val="en-US" w:eastAsia="zh-CN"/>
            </w:rPr>
            <w:t xml:space="preserve">3.4. </w:t>
          </w:r>
          <w:r>
            <w:rPr>
              <w:rFonts w:hint="eastAsia"/>
              <w:lang w:val="en-US" w:eastAsia="zh-CN"/>
            </w:rPr>
            <w:t>运维工具应用情况效果</w:t>
          </w:r>
          <w:r>
            <w:tab/>
          </w:r>
          <w:r>
            <w:fldChar w:fldCharType="begin"/>
          </w:r>
          <w:r>
            <w:instrText xml:space="preserve"> PAGEREF _Toc21162 \h </w:instrText>
          </w:r>
          <w:r>
            <w:fldChar w:fldCharType="separate"/>
          </w:r>
          <w:r>
            <w:t>15</w:t>
          </w:r>
          <w:r>
            <w:fldChar w:fldCharType="end"/>
          </w:r>
          <w:r>
            <w:rPr>
              <w:rFonts w:hint="eastAsia" w:ascii="宋体" w:hAnsi="宋体" w:eastAsia="宋体" w:cs="宋体"/>
              <w:szCs w:val="24"/>
            </w:rPr>
            <w:fldChar w:fldCharType="end"/>
          </w:r>
        </w:p>
        <w:p w14:paraId="73745A4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_Toc30686 </w:instrText>
          </w:r>
          <w:r>
            <w:rPr>
              <w:rFonts w:hint="eastAsia" w:ascii="宋体" w:hAnsi="宋体" w:eastAsia="宋体" w:cs="宋体"/>
              <w:szCs w:val="24"/>
            </w:rPr>
            <w:fldChar w:fldCharType="separate"/>
          </w:r>
          <w:r>
            <w:rPr>
              <w:rFonts w:hint="default"/>
              <w:lang w:val="en-US" w:eastAsia="zh-CN"/>
            </w:rPr>
            <w:t>3.4.1. 过程管理工具应用成效</w:t>
          </w:r>
          <w:r>
            <w:tab/>
          </w:r>
          <w:r>
            <w:fldChar w:fldCharType="begin"/>
          </w:r>
          <w:r>
            <w:instrText xml:space="preserve"> PAGEREF _Toc30686 \h </w:instrText>
          </w:r>
          <w:r>
            <w:fldChar w:fldCharType="separate"/>
          </w:r>
          <w:r>
            <w:t>15</w:t>
          </w:r>
          <w:r>
            <w:fldChar w:fldCharType="end"/>
          </w:r>
          <w:r>
            <w:rPr>
              <w:rFonts w:hint="eastAsia" w:ascii="宋体" w:hAnsi="宋体" w:eastAsia="宋体" w:cs="宋体"/>
              <w:szCs w:val="24"/>
            </w:rPr>
            <w:fldChar w:fldCharType="end"/>
          </w:r>
        </w:p>
        <w:p w14:paraId="1FFD470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_Toc27081 </w:instrText>
          </w:r>
          <w:r>
            <w:rPr>
              <w:rFonts w:hint="eastAsia" w:ascii="宋体" w:hAnsi="宋体" w:eastAsia="宋体" w:cs="宋体"/>
              <w:szCs w:val="24"/>
            </w:rPr>
            <w:fldChar w:fldCharType="separate"/>
          </w:r>
          <w:r>
            <w:rPr>
              <w:rFonts w:hint="default"/>
              <w:lang w:val="en-US" w:eastAsia="zh-CN"/>
            </w:rPr>
            <w:t>3.4.2. 监控工具应用成效</w:t>
          </w:r>
          <w:r>
            <w:tab/>
          </w:r>
          <w:r>
            <w:fldChar w:fldCharType="begin"/>
          </w:r>
          <w:r>
            <w:instrText xml:space="preserve"> PAGEREF _Toc27081 \h </w:instrText>
          </w:r>
          <w:r>
            <w:fldChar w:fldCharType="separate"/>
          </w:r>
          <w:r>
            <w:t>15</w:t>
          </w:r>
          <w:r>
            <w:fldChar w:fldCharType="end"/>
          </w:r>
          <w:r>
            <w:rPr>
              <w:rFonts w:hint="eastAsia" w:ascii="宋体" w:hAnsi="宋体" w:eastAsia="宋体" w:cs="宋体"/>
              <w:szCs w:val="24"/>
            </w:rPr>
            <w:fldChar w:fldCharType="end"/>
          </w:r>
        </w:p>
        <w:p w14:paraId="332F690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_Toc4582 </w:instrText>
          </w:r>
          <w:r>
            <w:rPr>
              <w:rFonts w:hint="eastAsia" w:ascii="宋体" w:hAnsi="宋体" w:eastAsia="宋体" w:cs="宋体"/>
              <w:szCs w:val="24"/>
            </w:rPr>
            <w:fldChar w:fldCharType="separate"/>
          </w:r>
          <w:r>
            <w:rPr>
              <w:rFonts w:hint="default"/>
              <w:lang w:val="en-US" w:eastAsia="zh-CN"/>
            </w:rPr>
            <w:t>3.4.3. 服务知识工具应用成效</w:t>
          </w:r>
          <w:r>
            <w:tab/>
          </w:r>
          <w:r>
            <w:fldChar w:fldCharType="begin"/>
          </w:r>
          <w:r>
            <w:instrText xml:space="preserve"> PAGEREF _Toc4582 \h </w:instrText>
          </w:r>
          <w:r>
            <w:fldChar w:fldCharType="separate"/>
          </w:r>
          <w:r>
            <w:t>16</w:t>
          </w:r>
          <w:r>
            <w:fldChar w:fldCharType="end"/>
          </w:r>
          <w:r>
            <w:rPr>
              <w:rFonts w:hint="eastAsia" w:ascii="宋体" w:hAnsi="宋体" w:eastAsia="宋体" w:cs="宋体"/>
              <w:szCs w:val="24"/>
            </w:rPr>
            <w:fldChar w:fldCharType="end"/>
          </w:r>
        </w:p>
        <w:p w14:paraId="6897F95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_Toc30884 </w:instrText>
          </w:r>
          <w:r>
            <w:rPr>
              <w:rFonts w:hint="eastAsia" w:ascii="宋体" w:hAnsi="宋体" w:eastAsia="宋体" w:cs="宋体"/>
              <w:szCs w:val="24"/>
            </w:rPr>
            <w:fldChar w:fldCharType="separate"/>
          </w:r>
          <w:r>
            <w:rPr>
              <w:rFonts w:hint="default"/>
              <w:lang w:val="en-US" w:eastAsia="zh-CN"/>
            </w:rPr>
            <w:t>3.4.4. 整体成效</w:t>
          </w:r>
          <w:r>
            <w:tab/>
          </w:r>
          <w:r>
            <w:fldChar w:fldCharType="begin"/>
          </w:r>
          <w:r>
            <w:instrText xml:space="preserve"> PAGEREF _Toc30884 \h </w:instrText>
          </w:r>
          <w:r>
            <w:fldChar w:fldCharType="separate"/>
          </w:r>
          <w:r>
            <w:t>16</w:t>
          </w:r>
          <w:r>
            <w:fldChar w:fldCharType="end"/>
          </w:r>
          <w:r>
            <w:rPr>
              <w:rFonts w:hint="eastAsia" w:ascii="宋体" w:hAnsi="宋体" w:eastAsia="宋体" w:cs="宋体"/>
              <w:szCs w:val="24"/>
            </w:rPr>
            <w:fldChar w:fldCharType="end"/>
          </w:r>
        </w:p>
        <w:p w14:paraId="3AA05197">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2B65D4D">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7A40A05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 w:name="_Toc3753"/>
      <w:r>
        <w:rPr>
          <w:rFonts w:hint="eastAsia"/>
          <w:lang w:val="en-US" w:eastAsia="zh-CN"/>
        </w:rPr>
        <w:t>运维工具应用情况说明</w:t>
      </w:r>
      <w:bookmarkEnd w:id="2"/>
    </w:p>
    <w:p w14:paraId="6F227F2A">
      <w:pPr>
        <w:pStyle w:val="31"/>
        <w:bidi w:val="0"/>
        <w:rPr>
          <w:rFonts w:hint="default"/>
          <w:lang w:val="en-US" w:eastAsia="zh-CN"/>
        </w:rPr>
      </w:pPr>
      <w:bookmarkStart w:id="3" w:name="_Toc23388"/>
      <w:r>
        <w:rPr>
          <w:rFonts w:hint="eastAsia"/>
          <w:lang w:val="en-US" w:eastAsia="zh-CN"/>
        </w:rPr>
        <w:t>运维工具列表</w:t>
      </w:r>
      <w:bookmarkEnd w:id="3"/>
    </w:p>
    <w:tbl>
      <w:tblPr>
        <w:tblStyle w:val="27"/>
        <w:tblW w:w="8521"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691"/>
        <w:gridCol w:w="1636"/>
        <w:gridCol w:w="1993"/>
        <w:gridCol w:w="1061"/>
        <w:gridCol w:w="3140"/>
      </w:tblGrid>
      <w:tr w14:paraId="3BB57B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blHeader/>
          <w:jc w:val="center"/>
        </w:trPr>
        <w:tc>
          <w:tcPr>
            <w:tcW w:w="691" w:type="dxa"/>
            <w:tcBorders>
              <w:top w:val="single" w:color="auto" w:sz="12" w:space="0"/>
              <w:left w:val="single" w:color="auto" w:sz="12" w:space="0"/>
              <w:bottom w:val="single" w:color="auto" w:sz="4" w:space="0"/>
              <w:right w:val="single" w:color="auto" w:sz="4" w:space="0"/>
            </w:tcBorders>
            <w:vAlign w:val="center"/>
          </w:tcPr>
          <w:p w14:paraId="7F3AAFE7">
            <w:pPr>
              <w:pStyle w:val="2"/>
              <w:numPr>
                <w:ilvl w:val="0"/>
                <w:numId w:val="0"/>
              </w:numPr>
              <w:bidi w:val="0"/>
              <w:snapToGrid w:val="0"/>
              <w:spacing w:line="240" w:lineRule="auto"/>
              <w:ind w:left="0" w:leftChars="0" w:right="0" w:rightChars="0" w:firstLine="0" w:firstLineChars="0"/>
              <w:jc w:val="center"/>
              <w:rPr>
                <w:rFonts w:hint="default" w:ascii="宋体" w:hAnsi="宋体" w:eastAsia="宋体" w:cs="宋体"/>
                <w:b/>
                <w:sz w:val="21"/>
                <w:szCs w:val="24"/>
                <w:lang w:val="en-US" w:eastAsia="zh-CN"/>
              </w:rPr>
            </w:pPr>
            <w:bookmarkStart w:id="4" w:name="_Toc28803"/>
            <w:bookmarkStart w:id="5" w:name="_Toc15952"/>
            <w:r>
              <w:rPr>
                <w:rFonts w:hint="eastAsia" w:ascii="宋体" w:hAnsi="宋体" w:eastAsia="宋体" w:cs="宋体"/>
                <w:b/>
                <w:sz w:val="21"/>
                <w:szCs w:val="24"/>
                <w:lang w:val="en-US" w:eastAsia="zh-CN"/>
              </w:rPr>
              <w:t>编号</w:t>
            </w:r>
            <w:bookmarkEnd w:id="4"/>
          </w:p>
        </w:tc>
        <w:tc>
          <w:tcPr>
            <w:tcW w:w="1636" w:type="dxa"/>
            <w:tcBorders>
              <w:top w:val="single" w:color="auto" w:sz="12" w:space="0"/>
              <w:left w:val="single" w:color="auto" w:sz="4" w:space="0"/>
              <w:bottom w:val="single" w:color="auto" w:sz="4" w:space="0"/>
              <w:right w:val="single" w:color="auto" w:sz="4" w:space="0"/>
            </w:tcBorders>
            <w:vAlign w:val="center"/>
          </w:tcPr>
          <w:p w14:paraId="76153EBD">
            <w:pPr>
              <w:pStyle w:val="2"/>
              <w:numPr>
                <w:ilvl w:val="0"/>
                <w:numId w:val="0"/>
              </w:numPr>
              <w:bidi w:val="0"/>
              <w:snapToGrid w:val="0"/>
              <w:spacing w:line="240" w:lineRule="auto"/>
              <w:ind w:left="0" w:leftChars="0" w:right="0" w:rightChars="0" w:firstLine="0" w:firstLineChars="0"/>
              <w:jc w:val="center"/>
              <w:rPr>
                <w:rFonts w:hint="eastAsia" w:ascii="宋体" w:hAnsi="宋体" w:eastAsia="宋体" w:cs="宋体"/>
                <w:b/>
                <w:sz w:val="21"/>
                <w:szCs w:val="24"/>
                <w:lang w:val="en-US" w:eastAsia="zh-CN"/>
              </w:rPr>
            </w:pPr>
            <w:bookmarkStart w:id="6" w:name="_Toc828"/>
            <w:r>
              <w:rPr>
                <w:rFonts w:hint="eastAsia" w:ascii="宋体" w:hAnsi="宋体" w:eastAsia="宋体" w:cs="宋体"/>
                <w:b/>
                <w:sz w:val="21"/>
                <w:szCs w:val="24"/>
                <w:lang w:val="en-US" w:eastAsia="zh-CN"/>
              </w:rPr>
              <w:t>工具类型</w:t>
            </w:r>
            <w:bookmarkEnd w:id="6"/>
          </w:p>
        </w:tc>
        <w:tc>
          <w:tcPr>
            <w:tcW w:w="1993" w:type="dxa"/>
            <w:tcBorders>
              <w:top w:val="single" w:color="auto" w:sz="12" w:space="0"/>
              <w:left w:val="single" w:color="auto" w:sz="4" w:space="0"/>
              <w:bottom w:val="single" w:color="auto" w:sz="4" w:space="0"/>
              <w:right w:val="single" w:color="auto" w:sz="4" w:space="0"/>
            </w:tcBorders>
            <w:vAlign w:val="center"/>
          </w:tcPr>
          <w:p w14:paraId="4CD0120A">
            <w:pPr>
              <w:snapToGrid w:val="0"/>
              <w:spacing w:before="12" w:line="240" w:lineRule="auto"/>
              <w:ind w:left="0" w:leftChars="0" w:right="0" w:rightChars="0" w:firstLine="0" w:firstLineChars="0"/>
              <w:jc w:val="center"/>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工具名称</w:t>
            </w:r>
          </w:p>
        </w:tc>
        <w:tc>
          <w:tcPr>
            <w:tcW w:w="1061" w:type="dxa"/>
            <w:tcBorders>
              <w:top w:val="single" w:color="auto" w:sz="12" w:space="0"/>
              <w:left w:val="single" w:color="auto" w:sz="4" w:space="0"/>
              <w:bottom w:val="single" w:color="auto" w:sz="4" w:space="0"/>
              <w:right w:val="single" w:color="auto" w:sz="4" w:space="0"/>
            </w:tcBorders>
            <w:vAlign w:val="center"/>
          </w:tcPr>
          <w:p w14:paraId="15A13275">
            <w:pPr>
              <w:snapToGrid w:val="0"/>
              <w:spacing w:before="12" w:line="240" w:lineRule="auto"/>
              <w:ind w:left="0" w:leftChars="0" w:right="0" w:rightChars="0" w:firstLine="0" w:firstLineChars="0"/>
              <w:jc w:val="center"/>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软件来源</w:t>
            </w:r>
          </w:p>
        </w:tc>
        <w:tc>
          <w:tcPr>
            <w:tcW w:w="3140" w:type="dxa"/>
            <w:tcBorders>
              <w:top w:val="single" w:color="auto" w:sz="12" w:space="0"/>
              <w:left w:val="single" w:color="auto" w:sz="4" w:space="0"/>
              <w:bottom w:val="single" w:color="auto" w:sz="4" w:space="0"/>
              <w:right w:val="single" w:color="auto" w:sz="12" w:space="0"/>
            </w:tcBorders>
            <w:vAlign w:val="center"/>
          </w:tcPr>
          <w:p w14:paraId="709EA1D6">
            <w:pPr>
              <w:snapToGrid w:val="0"/>
              <w:spacing w:before="12" w:line="240" w:lineRule="auto"/>
              <w:ind w:left="0" w:leftChars="0" w:right="0" w:rightChars="0" w:firstLine="0" w:firstLineChars="0"/>
              <w:jc w:val="center"/>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使用范围</w:t>
            </w:r>
          </w:p>
        </w:tc>
      </w:tr>
      <w:tr w14:paraId="596C38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691" w:type="dxa"/>
            <w:tcBorders>
              <w:top w:val="single" w:color="auto" w:sz="4" w:space="0"/>
              <w:left w:val="single" w:color="auto" w:sz="12" w:space="0"/>
              <w:bottom w:val="single" w:color="auto" w:sz="4" w:space="0"/>
              <w:right w:val="single" w:color="auto" w:sz="4" w:space="0"/>
            </w:tcBorders>
            <w:vAlign w:val="center"/>
          </w:tcPr>
          <w:p w14:paraId="7D64991C">
            <w:pPr>
              <w:numPr>
                <w:ilvl w:val="0"/>
                <w:numId w:val="2"/>
              </w:numPr>
              <w:bidi w:val="0"/>
              <w:rPr>
                <w:rFonts w:hint="eastAsia"/>
              </w:rPr>
            </w:pPr>
          </w:p>
        </w:tc>
        <w:tc>
          <w:tcPr>
            <w:tcW w:w="1636" w:type="dxa"/>
            <w:tcBorders>
              <w:top w:val="single" w:color="auto" w:sz="4" w:space="0"/>
              <w:left w:val="single" w:color="auto" w:sz="4" w:space="0"/>
              <w:bottom w:val="single" w:color="auto" w:sz="4" w:space="0"/>
              <w:right w:val="single" w:color="auto" w:sz="4" w:space="0"/>
            </w:tcBorders>
            <w:vAlign w:val="center"/>
          </w:tcPr>
          <w:p w14:paraId="6EAD65C8">
            <w:pPr>
              <w:pStyle w:val="2"/>
              <w:numPr>
                <w:ilvl w:val="0"/>
                <w:numId w:val="0"/>
              </w:numPr>
              <w:bidi w:val="0"/>
              <w:snapToGrid w:val="0"/>
              <w:spacing w:line="240" w:lineRule="auto"/>
              <w:ind w:left="0" w:leftChars="0" w:right="0" w:rightChars="0" w:firstLine="0" w:firstLineChars="0"/>
              <w:jc w:val="left"/>
              <w:rPr>
                <w:rFonts w:ascii="宋体" w:hAnsi="宋体" w:eastAsia="宋体" w:cs="宋体"/>
                <w:sz w:val="21"/>
                <w:szCs w:val="24"/>
              </w:rPr>
            </w:pPr>
            <w:bookmarkStart w:id="7" w:name="_Toc18610"/>
            <w:r>
              <w:rPr>
                <w:rFonts w:hint="eastAsia" w:ascii="宋体" w:hAnsi="宋体" w:eastAsia="宋体" w:cs="宋体"/>
                <w:sz w:val="21"/>
                <w:szCs w:val="24"/>
              </w:rPr>
              <w:t>过程管理工具</w:t>
            </w:r>
            <w:bookmarkEnd w:id="5"/>
            <w:bookmarkEnd w:id="7"/>
          </w:p>
        </w:tc>
        <w:tc>
          <w:tcPr>
            <w:tcW w:w="1993" w:type="dxa"/>
            <w:tcBorders>
              <w:top w:val="single" w:color="auto" w:sz="4" w:space="0"/>
              <w:left w:val="single" w:color="auto" w:sz="4" w:space="0"/>
              <w:bottom w:val="single" w:color="auto" w:sz="4" w:space="0"/>
              <w:right w:val="single" w:color="auto" w:sz="4" w:space="0"/>
            </w:tcBorders>
            <w:vAlign w:val="center"/>
          </w:tcPr>
          <w:p w14:paraId="484B6A5A">
            <w:pPr>
              <w:snapToGrid w:val="0"/>
              <w:spacing w:before="12" w:line="240" w:lineRule="auto"/>
              <w:ind w:left="0" w:leftChars="0" w:right="0" w:rightChars="0" w:firstLine="0" w:firstLineChars="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通服信息化服务平台</w:t>
            </w:r>
          </w:p>
        </w:tc>
        <w:tc>
          <w:tcPr>
            <w:tcW w:w="1061" w:type="dxa"/>
            <w:tcBorders>
              <w:top w:val="single" w:color="auto" w:sz="4" w:space="0"/>
              <w:left w:val="single" w:color="auto" w:sz="4" w:space="0"/>
              <w:bottom w:val="single" w:color="auto" w:sz="4" w:space="0"/>
              <w:right w:val="single" w:color="auto" w:sz="4" w:space="0"/>
            </w:tcBorders>
            <w:vAlign w:val="center"/>
          </w:tcPr>
          <w:p w14:paraId="1AB6EC19">
            <w:pPr>
              <w:snapToGrid w:val="0"/>
              <w:spacing w:before="12" w:line="240" w:lineRule="auto"/>
              <w:ind w:left="0" w:leftChars="0" w:right="0" w:rightChars="0" w:firstLine="0" w:firstLineChars="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自研</w:t>
            </w:r>
          </w:p>
        </w:tc>
        <w:tc>
          <w:tcPr>
            <w:tcW w:w="3140" w:type="dxa"/>
            <w:tcBorders>
              <w:top w:val="single" w:color="auto" w:sz="4" w:space="0"/>
              <w:left w:val="single" w:color="auto" w:sz="4" w:space="0"/>
              <w:bottom w:val="single" w:color="auto" w:sz="4" w:space="0"/>
              <w:right w:val="single" w:color="auto" w:sz="12" w:space="0"/>
            </w:tcBorders>
            <w:vAlign w:val="center"/>
          </w:tcPr>
          <w:p w14:paraId="6A2541A1">
            <w:pPr>
              <w:snapToGrid w:val="0"/>
              <w:spacing w:before="12" w:line="240" w:lineRule="auto"/>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cs="宋体"/>
                <w:sz w:val="21"/>
                <w:szCs w:val="24"/>
                <w:lang w:eastAsia="zh-CN"/>
              </w:rPr>
              <w:t>公安视频监控项目运维项目</w:t>
            </w:r>
          </w:p>
        </w:tc>
      </w:tr>
      <w:tr w14:paraId="5424F5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691" w:type="dxa"/>
            <w:tcBorders>
              <w:top w:val="single" w:color="auto" w:sz="4" w:space="0"/>
              <w:left w:val="single" w:color="auto" w:sz="12" w:space="0"/>
              <w:bottom w:val="single" w:color="auto" w:sz="4" w:space="0"/>
              <w:right w:val="single" w:color="auto" w:sz="4" w:space="0"/>
            </w:tcBorders>
            <w:vAlign w:val="center"/>
          </w:tcPr>
          <w:p w14:paraId="7060FC65">
            <w:pPr>
              <w:numPr>
                <w:ilvl w:val="0"/>
                <w:numId w:val="1"/>
              </w:numPr>
              <w:bidi w:val="0"/>
              <w:rPr>
                <w:rFonts w:hint="eastAsia"/>
              </w:rPr>
            </w:pPr>
            <w:bookmarkStart w:id="8" w:name="_Toc19496"/>
          </w:p>
        </w:tc>
        <w:tc>
          <w:tcPr>
            <w:tcW w:w="1636" w:type="dxa"/>
            <w:tcBorders>
              <w:top w:val="single" w:color="auto" w:sz="4" w:space="0"/>
              <w:left w:val="single" w:color="auto" w:sz="4" w:space="0"/>
              <w:bottom w:val="single" w:color="auto" w:sz="4" w:space="0"/>
              <w:right w:val="single" w:color="auto" w:sz="4" w:space="0"/>
            </w:tcBorders>
            <w:vAlign w:val="center"/>
          </w:tcPr>
          <w:p w14:paraId="3CBAF4EE">
            <w:pPr>
              <w:pStyle w:val="2"/>
              <w:numPr>
                <w:ilvl w:val="0"/>
                <w:numId w:val="0"/>
              </w:numPr>
              <w:bidi w:val="0"/>
              <w:snapToGrid w:val="0"/>
              <w:spacing w:line="240" w:lineRule="auto"/>
              <w:ind w:left="0" w:leftChars="0" w:right="0" w:rightChars="0" w:firstLine="0" w:firstLineChars="0"/>
              <w:jc w:val="left"/>
              <w:rPr>
                <w:rFonts w:ascii="宋体" w:hAnsi="宋体" w:eastAsia="宋体" w:cs="宋体"/>
                <w:sz w:val="21"/>
                <w:szCs w:val="24"/>
              </w:rPr>
            </w:pPr>
            <w:bookmarkStart w:id="9" w:name="_Toc25306"/>
            <w:r>
              <w:rPr>
                <w:rFonts w:hint="eastAsia" w:ascii="宋体" w:hAnsi="宋体" w:eastAsia="宋体" w:cs="宋体"/>
                <w:sz w:val="21"/>
                <w:szCs w:val="24"/>
              </w:rPr>
              <w:t>监控工具</w:t>
            </w:r>
            <w:bookmarkEnd w:id="8"/>
            <w:bookmarkEnd w:id="9"/>
          </w:p>
        </w:tc>
        <w:tc>
          <w:tcPr>
            <w:tcW w:w="1993" w:type="dxa"/>
            <w:tcBorders>
              <w:top w:val="single" w:color="auto" w:sz="4" w:space="0"/>
              <w:left w:val="single" w:color="auto" w:sz="4" w:space="0"/>
              <w:bottom w:val="single" w:color="auto" w:sz="4" w:space="0"/>
              <w:right w:val="single" w:color="auto" w:sz="4" w:space="0"/>
            </w:tcBorders>
            <w:vAlign w:val="center"/>
          </w:tcPr>
          <w:p w14:paraId="3A03FF8C">
            <w:pPr>
              <w:pStyle w:val="30"/>
              <w:snapToGrid w:val="0"/>
              <w:spacing w:line="240" w:lineRule="auto"/>
              <w:ind w:left="0" w:leftChars="0" w:right="0" w:rightChars="0" w:firstLine="0" w:firstLineChars="0"/>
              <w:jc w:val="center"/>
              <w:rPr>
                <w:rFonts w:hint="default" w:ascii="宋体" w:hAnsi="宋体" w:eastAsia="宋体" w:cs="宋体"/>
                <w:sz w:val="21"/>
                <w:szCs w:val="21"/>
                <w:lang w:val="en-US" w:eastAsia="zh-CN"/>
              </w:rPr>
            </w:pPr>
            <w:r>
              <w:rPr>
                <w:rFonts w:hint="eastAsia" w:ascii="宋体" w:eastAsia="宋体"/>
                <w:sz w:val="21"/>
                <w:lang w:val="en-US" w:eastAsia="zh-CN"/>
              </w:rPr>
              <w:t>智瞰哨兵管理平台</w:t>
            </w:r>
          </w:p>
        </w:tc>
        <w:tc>
          <w:tcPr>
            <w:tcW w:w="1061" w:type="dxa"/>
            <w:tcBorders>
              <w:top w:val="single" w:color="auto" w:sz="4" w:space="0"/>
              <w:left w:val="single" w:color="auto" w:sz="4" w:space="0"/>
              <w:bottom w:val="single" w:color="auto" w:sz="4" w:space="0"/>
              <w:right w:val="single" w:color="auto" w:sz="4" w:space="0"/>
            </w:tcBorders>
            <w:vAlign w:val="center"/>
          </w:tcPr>
          <w:p w14:paraId="39E85F9D">
            <w:pPr>
              <w:pStyle w:val="30"/>
              <w:snapToGrid w:val="0"/>
              <w:spacing w:line="240" w:lineRule="auto"/>
              <w:ind w:left="0" w:leftChars="0" w:right="0" w:rightChars="0" w:firstLine="0" w:firstLineChars="0"/>
              <w:jc w:val="center"/>
              <w:rPr>
                <w:rFonts w:hint="default" w:ascii="宋体" w:eastAsia="宋体"/>
                <w:sz w:val="21"/>
                <w:lang w:val="en-US" w:eastAsia="zh-CN"/>
              </w:rPr>
            </w:pPr>
            <w:r>
              <w:rPr>
                <w:rFonts w:hint="eastAsia" w:ascii="宋体" w:eastAsia="宋体"/>
                <w:sz w:val="21"/>
                <w:lang w:val="en-US" w:eastAsia="zh-CN"/>
              </w:rPr>
              <w:t>外购</w:t>
            </w:r>
          </w:p>
        </w:tc>
        <w:tc>
          <w:tcPr>
            <w:tcW w:w="3140" w:type="dxa"/>
            <w:tcBorders>
              <w:top w:val="single" w:color="auto" w:sz="4" w:space="0"/>
              <w:left w:val="single" w:color="auto" w:sz="4" w:space="0"/>
              <w:bottom w:val="single" w:color="auto" w:sz="4" w:space="0"/>
              <w:right w:val="single" w:color="auto" w:sz="12" w:space="0"/>
            </w:tcBorders>
            <w:vAlign w:val="center"/>
          </w:tcPr>
          <w:p w14:paraId="5A9E7BAA">
            <w:pPr>
              <w:pStyle w:val="30"/>
              <w:snapToGrid w:val="0"/>
              <w:spacing w:line="240" w:lineRule="auto"/>
              <w:ind w:left="0" w:leftChars="0" w:right="0" w:rightChars="0" w:firstLine="0" w:firstLineChars="0"/>
              <w:jc w:val="center"/>
              <w:rPr>
                <w:rFonts w:hint="eastAsia" w:ascii="宋体" w:eastAsia="宋体"/>
                <w:sz w:val="21"/>
                <w:lang w:val="en-US" w:eastAsia="zh-CN"/>
              </w:rPr>
            </w:pPr>
            <w:r>
              <w:rPr>
                <w:rFonts w:hint="eastAsia" w:ascii="宋体" w:hAnsi="宋体" w:cs="宋体"/>
                <w:sz w:val="21"/>
                <w:szCs w:val="24"/>
                <w:lang w:eastAsia="zh-CN"/>
              </w:rPr>
              <w:t>公安视频监控项目运维项目</w:t>
            </w:r>
          </w:p>
        </w:tc>
      </w:tr>
      <w:tr w14:paraId="4E227A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691" w:type="dxa"/>
            <w:tcBorders>
              <w:top w:val="single" w:color="auto" w:sz="4" w:space="0"/>
              <w:left w:val="single" w:color="auto" w:sz="12" w:space="0"/>
              <w:bottom w:val="single" w:color="auto" w:sz="12" w:space="0"/>
              <w:right w:val="single" w:color="auto" w:sz="4" w:space="0"/>
            </w:tcBorders>
            <w:vAlign w:val="center"/>
          </w:tcPr>
          <w:p w14:paraId="6B861595">
            <w:pPr>
              <w:numPr>
                <w:ilvl w:val="0"/>
                <w:numId w:val="1"/>
              </w:numPr>
              <w:bidi w:val="0"/>
              <w:rPr>
                <w:rFonts w:hint="eastAsia"/>
                <w:lang w:val="en-US" w:eastAsia="zh-CN"/>
              </w:rPr>
            </w:pPr>
          </w:p>
        </w:tc>
        <w:tc>
          <w:tcPr>
            <w:tcW w:w="1636" w:type="dxa"/>
            <w:tcBorders>
              <w:top w:val="single" w:color="auto" w:sz="4" w:space="0"/>
              <w:left w:val="single" w:color="auto" w:sz="4" w:space="0"/>
              <w:bottom w:val="single" w:color="auto" w:sz="12" w:space="0"/>
              <w:right w:val="single" w:color="auto" w:sz="4" w:space="0"/>
            </w:tcBorders>
            <w:vAlign w:val="center"/>
          </w:tcPr>
          <w:p w14:paraId="59F036EE">
            <w:pPr>
              <w:pStyle w:val="2"/>
              <w:numPr>
                <w:ilvl w:val="0"/>
                <w:numId w:val="0"/>
              </w:numPr>
              <w:bidi w:val="0"/>
              <w:snapToGrid w:val="0"/>
              <w:spacing w:line="240" w:lineRule="auto"/>
              <w:ind w:left="0" w:leftChars="0" w:right="0" w:rightChars="0" w:firstLine="0" w:firstLineChars="0"/>
              <w:jc w:val="left"/>
              <w:rPr>
                <w:rFonts w:hint="eastAsia" w:ascii="宋体" w:hAnsi="宋体" w:eastAsia="宋体" w:cs="宋体"/>
                <w:sz w:val="21"/>
                <w:szCs w:val="24"/>
              </w:rPr>
            </w:pPr>
            <w:bookmarkStart w:id="10" w:name="_Toc27253"/>
            <w:r>
              <w:rPr>
                <w:rFonts w:hint="eastAsia" w:ascii="宋体" w:hAnsi="宋体" w:eastAsia="宋体" w:cs="宋体"/>
                <w:sz w:val="21"/>
                <w:szCs w:val="24"/>
                <w:lang w:val="en-US" w:eastAsia="zh-CN"/>
              </w:rPr>
              <w:t>服务知识工具</w:t>
            </w:r>
            <w:bookmarkEnd w:id="10"/>
          </w:p>
        </w:tc>
        <w:tc>
          <w:tcPr>
            <w:tcW w:w="1993" w:type="dxa"/>
            <w:tcBorders>
              <w:top w:val="single" w:color="auto" w:sz="4" w:space="0"/>
              <w:left w:val="single" w:color="auto" w:sz="4" w:space="0"/>
              <w:bottom w:val="single" w:color="auto" w:sz="12" w:space="0"/>
              <w:right w:val="single" w:color="auto" w:sz="4" w:space="0"/>
            </w:tcBorders>
            <w:vAlign w:val="center"/>
          </w:tcPr>
          <w:p w14:paraId="1DE6C415">
            <w:pPr>
              <w:pStyle w:val="30"/>
              <w:snapToGrid w:val="0"/>
              <w:spacing w:line="240" w:lineRule="auto"/>
              <w:ind w:left="0" w:leftChars="0" w:right="0" w:rightChars="0" w:firstLine="0" w:firstLineChars="0"/>
              <w:jc w:val="center"/>
              <w:rPr>
                <w:rFonts w:hint="default" w:ascii="宋体" w:eastAsia="宋体"/>
                <w:sz w:val="21"/>
                <w:lang w:val="en-US" w:eastAsia="zh-CN"/>
              </w:rPr>
            </w:pPr>
            <w:r>
              <w:rPr>
                <w:rFonts w:hint="eastAsia" w:ascii="宋体"/>
                <w:sz w:val="21"/>
                <w:lang w:val="en-US" w:eastAsia="zh-CN"/>
              </w:rPr>
              <w:t>华数</w:t>
            </w:r>
            <w:r>
              <w:rPr>
                <w:rFonts w:hint="eastAsia" w:ascii="宋体" w:eastAsia="宋体"/>
                <w:sz w:val="21"/>
                <w:lang w:val="en-US" w:eastAsia="zh-CN"/>
              </w:rPr>
              <w:t>-服务价值台</w:t>
            </w:r>
          </w:p>
        </w:tc>
        <w:tc>
          <w:tcPr>
            <w:tcW w:w="1061" w:type="dxa"/>
            <w:tcBorders>
              <w:top w:val="single" w:color="auto" w:sz="4" w:space="0"/>
              <w:left w:val="single" w:color="auto" w:sz="4" w:space="0"/>
              <w:bottom w:val="single" w:color="auto" w:sz="12" w:space="0"/>
              <w:right w:val="single" w:color="auto" w:sz="4" w:space="0"/>
            </w:tcBorders>
            <w:vAlign w:val="center"/>
          </w:tcPr>
          <w:p w14:paraId="736E6259">
            <w:pPr>
              <w:pStyle w:val="30"/>
              <w:snapToGrid w:val="0"/>
              <w:spacing w:line="240" w:lineRule="auto"/>
              <w:ind w:left="0" w:leftChars="0" w:right="0" w:rightChars="0" w:firstLine="0" w:firstLineChars="0"/>
              <w:jc w:val="center"/>
              <w:rPr>
                <w:rFonts w:hint="default" w:ascii="宋体" w:eastAsia="宋体"/>
                <w:sz w:val="21"/>
                <w:lang w:val="en-US" w:eastAsia="zh-CN"/>
              </w:rPr>
            </w:pPr>
            <w:r>
              <w:rPr>
                <w:rFonts w:hint="eastAsia" w:ascii="宋体" w:eastAsia="宋体"/>
                <w:sz w:val="21"/>
                <w:lang w:val="en-US" w:eastAsia="zh-CN"/>
              </w:rPr>
              <w:t>自研</w:t>
            </w:r>
          </w:p>
        </w:tc>
        <w:tc>
          <w:tcPr>
            <w:tcW w:w="3140" w:type="dxa"/>
            <w:tcBorders>
              <w:top w:val="single" w:color="auto" w:sz="4" w:space="0"/>
              <w:left w:val="single" w:color="auto" w:sz="4" w:space="0"/>
              <w:bottom w:val="single" w:color="auto" w:sz="12" w:space="0"/>
              <w:right w:val="single" w:color="auto" w:sz="12" w:space="0"/>
            </w:tcBorders>
            <w:vAlign w:val="center"/>
          </w:tcPr>
          <w:p w14:paraId="123826C4">
            <w:pPr>
              <w:pStyle w:val="30"/>
              <w:snapToGrid w:val="0"/>
              <w:spacing w:line="240" w:lineRule="auto"/>
              <w:ind w:left="0" w:leftChars="0" w:right="0" w:rightChars="0" w:firstLine="0" w:firstLineChars="0"/>
              <w:jc w:val="center"/>
              <w:rPr>
                <w:rFonts w:hint="eastAsia" w:ascii="宋体" w:eastAsia="宋体"/>
                <w:sz w:val="21"/>
                <w:lang w:val="en-US" w:eastAsia="zh-CN"/>
              </w:rPr>
            </w:pPr>
            <w:r>
              <w:rPr>
                <w:rFonts w:hint="eastAsia" w:ascii="宋体" w:hAnsi="宋体" w:cs="宋体"/>
                <w:sz w:val="21"/>
                <w:szCs w:val="24"/>
                <w:lang w:eastAsia="zh-CN"/>
              </w:rPr>
              <w:t>公安视频监控项目运维项目</w:t>
            </w:r>
          </w:p>
        </w:tc>
      </w:tr>
    </w:tbl>
    <w:p w14:paraId="3C9B8CB8">
      <w:pPr>
        <w:pStyle w:val="31"/>
        <w:numPr>
          <w:ilvl w:val="1"/>
          <w:numId w:val="1"/>
        </w:numPr>
        <w:bidi w:val="0"/>
        <w:rPr>
          <w:rFonts w:hint="eastAsia"/>
          <w:lang w:val="en-US" w:eastAsia="zh-CN"/>
        </w:rPr>
      </w:pPr>
      <w:bookmarkStart w:id="11" w:name="_Toc20572"/>
      <w:r>
        <w:rPr>
          <w:rFonts w:hint="eastAsia"/>
          <w:lang w:val="en-US" w:eastAsia="zh-CN"/>
        </w:rPr>
        <w:t>过程管理工具</w:t>
      </w:r>
      <w:bookmarkEnd w:id="11"/>
    </w:p>
    <w:p w14:paraId="28DB5843">
      <w:pPr>
        <w:pStyle w:val="32"/>
        <w:numPr>
          <w:ilvl w:val="2"/>
          <w:numId w:val="1"/>
        </w:numPr>
        <w:bidi w:val="0"/>
        <w:rPr>
          <w:rFonts w:hint="eastAsia"/>
          <w:lang w:val="en-US" w:eastAsia="zh-CN"/>
        </w:rPr>
      </w:pPr>
      <w:bookmarkStart w:id="12" w:name="_Toc27571"/>
      <w:r>
        <w:rPr>
          <w:rFonts w:hint="eastAsia"/>
          <w:lang w:val="en-US" w:eastAsia="zh-CN"/>
        </w:rPr>
        <w:t>软件名称</w:t>
      </w:r>
      <w:bookmarkEnd w:id="12"/>
    </w:p>
    <w:p w14:paraId="50CFEA7B">
      <w:pPr>
        <w:pStyle w:val="30"/>
        <w:bidi w:val="0"/>
        <w:rPr>
          <w:rFonts w:hint="eastAsia"/>
          <w:lang w:val="en-US" w:eastAsia="zh-CN"/>
        </w:rPr>
      </w:pPr>
      <w:r>
        <w:rPr>
          <w:rFonts w:hint="eastAsia"/>
          <w:lang w:val="en-US" w:eastAsia="zh-CN"/>
        </w:rPr>
        <w:t>通服信息化服务平台</w:t>
      </w:r>
    </w:p>
    <w:p w14:paraId="1F81327A">
      <w:pPr>
        <w:pStyle w:val="32"/>
        <w:numPr>
          <w:ilvl w:val="2"/>
          <w:numId w:val="1"/>
        </w:numPr>
        <w:bidi w:val="0"/>
        <w:rPr>
          <w:rFonts w:hint="default"/>
          <w:lang w:val="en-US" w:eastAsia="zh-CN"/>
        </w:rPr>
      </w:pPr>
      <w:bookmarkStart w:id="13" w:name="_Toc10494"/>
      <w:r>
        <w:rPr>
          <w:rFonts w:hint="eastAsia"/>
          <w:lang w:val="en-US" w:eastAsia="zh-CN"/>
        </w:rPr>
        <w:t>软件来源</w:t>
      </w:r>
      <w:bookmarkEnd w:id="13"/>
    </w:p>
    <w:p w14:paraId="752775C5">
      <w:pPr>
        <w:pStyle w:val="30"/>
        <w:bidi w:val="0"/>
        <w:rPr>
          <w:rFonts w:hint="default"/>
          <w:lang w:val="en-US" w:eastAsia="zh-CN"/>
        </w:rPr>
      </w:pPr>
      <w:r>
        <w:rPr>
          <w:rFonts w:hint="eastAsia"/>
          <w:lang w:val="en-US" w:eastAsia="zh-CN"/>
        </w:rPr>
        <w:t>自研</w:t>
      </w:r>
    </w:p>
    <w:p w14:paraId="2FE6D11B">
      <w:pPr>
        <w:pStyle w:val="32"/>
        <w:numPr>
          <w:ilvl w:val="2"/>
          <w:numId w:val="1"/>
        </w:numPr>
        <w:bidi w:val="0"/>
        <w:rPr>
          <w:rFonts w:hint="default"/>
          <w:lang w:val="en-US" w:eastAsia="zh-CN"/>
        </w:rPr>
      </w:pPr>
      <w:bookmarkStart w:id="14" w:name="_Toc8158"/>
      <w:r>
        <w:rPr>
          <w:rFonts w:hint="eastAsia"/>
          <w:lang w:val="en-US" w:eastAsia="zh-CN"/>
        </w:rPr>
        <w:t>软件特色</w:t>
      </w:r>
      <w:bookmarkEnd w:id="14"/>
    </w:p>
    <w:p w14:paraId="3EC3B699">
      <w:pPr>
        <w:pStyle w:val="30"/>
        <w:rPr>
          <w:rFonts w:hint="default"/>
          <w:lang w:val="en-US" w:eastAsia="zh-CN"/>
        </w:rPr>
      </w:pPr>
      <w:r>
        <w:rPr>
          <w:rFonts w:hint="eastAsia" w:ascii="宋体" w:hAnsi="宋体" w:eastAsia="宋体" w:cs="宋体"/>
          <w:sz w:val="21"/>
          <w:szCs w:val="21"/>
        </w:rPr>
        <w:t>集成了工单全生命周期管理、统一服务门户、多系统协同处理与全景数据报表分析四大核心能力。平台构建了从“申告-受理-处理-办结-评价”的完整闭环流程，并融合了公告发布、模板库管理与服务满意度监测等模块，旨在为企业内部用户与运维团队提供标准化、透明化、高效化的统一服务入口与运营支撑。</w:t>
      </w:r>
    </w:p>
    <w:p w14:paraId="69C2316C">
      <w:pPr>
        <w:pStyle w:val="32"/>
        <w:numPr>
          <w:ilvl w:val="2"/>
          <w:numId w:val="1"/>
        </w:numPr>
        <w:bidi w:val="0"/>
        <w:rPr>
          <w:rFonts w:hint="default"/>
          <w:lang w:val="en-US" w:eastAsia="zh-CN"/>
        </w:rPr>
      </w:pPr>
      <w:bookmarkStart w:id="15" w:name="_Toc22758"/>
      <w:r>
        <w:rPr>
          <w:rFonts w:hint="eastAsia"/>
          <w:lang w:val="en-US" w:eastAsia="zh-CN"/>
        </w:rPr>
        <w:t>功能介绍</w:t>
      </w:r>
      <w:bookmarkEnd w:id="15"/>
    </w:p>
    <w:p w14:paraId="4F31478B">
      <w:pPr>
        <w:pStyle w:val="30"/>
        <w:bidi w:val="0"/>
      </w:pPr>
      <w:r>
        <w:t>该功能提供个人提交的所有工单处理状态、流转节点与实时进展的集中查看入口，方便您及时掌握办理进度并跟进处理结果。</w:t>
      </w:r>
    </w:p>
    <w:p w14:paraId="011B2695">
      <w:pPr>
        <w:pStyle w:val="30"/>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我的申告</w:t>
      </w:r>
    </w:p>
    <w:p w14:paraId="2C8DDCAB">
      <w:pPr>
        <w:pStyle w:val="30"/>
        <w:ind w:left="0" w:leftChars="0" w:right="0" w:rightChars="0" w:firstLine="0" w:firstLineChars="0"/>
        <w:jc w:val="center"/>
      </w:pPr>
      <w:r>
        <w:drawing>
          <wp:inline distT="0" distB="0" distL="114300" distR="114300">
            <wp:extent cx="5095875" cy="2941320"/>
            <wp:effectExtent l="0" t="0" r="9525"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5095875" cy="2941320"/>
                    </a:xfrm>
                    <a:prstGeom prst="rect">
                      <a:avLst/>
                    </a:prstGeom>
                    <a:noFill/>
                    <a:ln>
                      <a:noFill/>
                    </a:ln>
                  </pic:spPr>
                </pic:pic>
              </a:graphicData>
            </a:graphic>
          </wp:inline>
        </w:drawing>
      </w:r>
    </w:p>
    <w:p w14:paraId="1510215F">
      <w:pPr>
        <w:pStyle w:val="30"/>
        <w:bidi w:val="0"/>
        <w:rPr>
          <w:rFonts w:hint="default"/>
        </w:rPr>
      </w:pPr>
      <w:r>
        <w:t>“所有工单”提供系统内全部工单的</w:t>
      </w:r>
      <w:r>
        <w:rPr>
          <w:rFonts w:hint="default"/>
        </w:rPr>
        <w:t>集中视图与管理入口。支持按状态、优先级、时间、所属系统等多维度筛选与查询，方便您全面掌握工单分布、处理进度及整体运营概况，实现对各类申告事务的统一跟踪与协同处理。</w:t>
      </w:r>
    </w:p>
    <w:p w14:paraId="4BFBD161">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所有工单</w:t>
      </w:r>
    </w:p>
    <w:p w14:paraId="2874B049">
      <w:pPr>
        <w:pStyle w:val="30"/>
        <w:ind w:left="0" w:leftChars="0" w:right="0" w:rightChars="0" w:firstLine="0" w:firstLineChars="0"/>
        <w:jc w:val="center"/>
      </w:pPr>
      <w:r>
        <w:drawing>
          <wp:inline distT="0" distB="0" distL="114300" distR="114300">
            <wp:extent cx="5264150" cy="2469515"/>
            <wp:effectExtent l="0" t="0" r="8890" b="1460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1"/>
                    <a:stretch>
                      <a:fillRect/>
                    </a:stretch>
                  </pic:blipFill>
                  <pic:spPr>
                    <a:xfrm>
                      <a:off x="0" y="0"/>
                      <a:ext cx="5264150" cy="2469515"/>
                    </a:xfrm>
                    <a:prstGeom prst="rect">
                      <a:avLst/>
                    </a:prstGeom>
                    <a:noFill/>
                    <a:ln>
                      <a:noFill/>
                    </a:ln>
                  </pic:spPr>
                </pic:pic>
              </a:graphicData>
            </a:graphic>
          </wp:inline>
        </w:drawing>
      </w:r>
    </w:p>
    <w:p w14:paraId="53A58882">
      <w:pPr>
        <w:pStyle w:val="30"/>
        <w:ind w:left="0" w:leftChars="0" w:right="0" w:rightChars="0" w:firstLine="0" w:firstLineChars="0"/>
        <w:jc w:val="center"/>
      </w:pPr>
      <w:r>
        <w:drawing>
          <wp:inline distT="0" distB="0" distL="114300" distR="114300">
            <wp:extent cx="5269230" cy="2406015"/>
            <wp:effectExtent l="0" t="0" r="3810" b="190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2"/>
                    <a:stretch>
                      <a:fillRect/>
                    </a:stretch>
                  </pic:blipFill>
                  <pic:spPr>
                    <a:xfrm>
                      <a:off x="0" y="0"/>
                      <a:ext cx="5269230" cy="2406015"/>
                    </a:xfrm>
                    <a:prstGeom prst="rect">
                      <a:avLst/>
                    </a:prstGeom>
                    <a:noFill/>
                    <a:ln>
                      <a:noFill/>
                    </a:ln>
                  </pic:spPr>
                </pic:pic>
              </a:graphicData>
            </a:graphic>
          </wp:inline>
        </w:drawing>
      </w:r>
    </w:p>
    <w:p w14:paraId="0B53B8D6">
      <w:pPr>
        <w:pStyle w:val="30"/>
        <w:ind w:left="0" w:leftChars="0" w:right="0" w:rightChars="0" w:firstLine="0" w:firstLineChars="0"/>
        <w:jc w:val="center"/>
      </w:pPr>
      <w:r>
        <w:drawing>
          <wp:inline distT="0" distB="0" distL="114300" distR="114300">
            <wp:extent cx="5272405" cy="2617470"/>
            <wp:effectExtent l="0" t="0" r="635" b="381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3"/>
                    <a:stretch>
                      <a:fillRect/>
                    </a:stretch>
                  </pic:blipFill>
                  <pic:spPr>
                    <a:xfrm>
                      <a:off x="0" y="0"/>
                      <a:ext cx="5272405" cy="2617470"/>
                    </a:xfrm>
                    <a:prstGeom prst="rect">
                      <a:avLst/>
                    </a:prstGeom>
                    <a:noFill/>
                    <a:ln>
                      <a:noFill/>
                    </a:ln>
                  </pic:spPr>
                </pic:pic>
              </a:graphicData>
            </a:graphic>
          </wp:inline>
        </w:drawing>
      </w:r>
    </w:p>
    <w:p w14:paraId="061851BD">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 xml:space="preserve"> 所有工单详情</w:t>
      </w:r>
    </w:p>
    <w:p w14:paraId="577DAF85">
      <w:pPr>
        <w:pStyle w:val="30"/>
        <w:ind w:left="0" w:leftChars="0" w:right="0" w:rightChars="0" w:firstLine="0" w:firstLineChars="0"/>
        <w:jc w:val="center"/>
      </w:pPr>
      <w:r>
        <w:drawing>
          <wp:inline distT="0" distB="0" distL="114300" distR="114300">
            <wp:extent cx="5261610" cy="1824355"/>
            <wp:effectExtent l="0" t="0" r="11430" b="444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4"/>
                    <a:stretch>
                      <a:fillRect/>
                    </a:stretch>
                  </pic:blipFill>
                  <pic:spPr>
                    <a:xfrm>
                      <a:off x="0" y="0"/>
                      <a:ext cx="5261610" cy="1824355"/>
                    </a:xfrm>
                    <a:prstGeom prst="rect">
                      <a:avLst/>
                    </a:prstGeom>
                    <a:noFill/>
                    <a:ln>
                      <a:noFill/>
                    </a:ln>
                  </pic:spPr>
                </pic:pic>
              </a:graphicData>
            </a:graphic>
          </wp:inline>
        </w:drawing>
      </w:r>
    </w:p>
    <w:p w14:paraId="3ECD348D">
      <w:pPr>
        <w:pStyle w:val="30"/>
        <w:ind w:left="0" w:leftChars="0" w:right="0" w:rightChars="0" w:firstLine="0" w:firstLineChars="0"/>
        <w:jc w:val="center"/>
      </w:pPr>
      <w:r>
        <w:drawing>
          <wp:inline distT="0" distB="0" distL="114300" distR="114300">
            <wp:extent cx="5270500" cy="2451100"/>
            <wp:effectExtent l="0" t="0" r="2540" b="254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5"/>
                    <a:stretch>
                      <a:fillRect/>
                    </a:stretch>
                  </pic:blipFill>
                  <pic:spPr>
                    <a:xfrm>
                      <a:off x="0" y="0"/>
                      <a:ext cx="5270500" cy="2451100"/>
                    </a:xfrm>
                    <a:prstGeom prst="rect">
                      <a:avLst/>
                    </a:prstGeom>
                    <a:noFill/>
                    <a:ln>
                      <a:noFill/>
                    </a:ln>
                  </pic:spPr>
                </pic:pic>
              </a:graphicData>
            </a:graphic>
          </wp:inline>
        </w:drawing>
      </w:r>
    </w:p>
    <w:p w14:paraId="21B12AB8">
      <w:pPr>
        <w:pStyle w:val="30"/>
        <w:bidi w:val="0"/>
      </w:pPr>
      <w:r>
        <w:t>已办工单功能，是用户个人处理完成的工单历史档案库。支持通过时间、工单号等多维度条件进行筛选与查询，便于对过往工作进行追溯复核、数据统计及经验归档，并为服务闭环与质量分析提供数据基础。</w:t>
      </w:r>
    </w:p>
    <w:p w14:paraId="0B2EFD71">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 xml:space="preserve"> 已办工单</w:t>
      </w:r>
    </w:p>
    <w:p w14:paraId="463E34C5">
      <w:pPr>
        <w:pStyle w:val="30"/>
        <w:ind w:left="0" w:leftChars="0" w:right="0" w:rightChars="0" w:firstLine="0" w:firstLineChars="0"/>
        <w:jc w:val="center"/>
        <w:rPr>
          <w:rFonts w:hint="default"/>
          <w:lang w:val="en-US" w:eastAsia="zh-CN"/>
        </w:rPr>
      </w:pPr>
      <w:r>
        <w:drawing>
          <wp:inline distT="0" distB="0" distL="114300" distR="114300">
            <wp:extent cx="5268595" cy="2881630"/>
            <wp:effectExtent l="0" t="0" r="4445" b="1397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6"/>
                    <a:stretch>
                      <a:fillRect/>
                    </a:stretch>
                  </pic:blipFill>
                  <pic:spPr>
                    <a:xfrm>
                      <a:off x="0" y="0"/>
                      <a:ext cx="5268595" cy="2881630"/>
                    </a:xfrm>
                    <a:prstGeom prst="rect">
                      <a:avLst/>
                    </a:prstGeom>
                    <a:noFill/>
                    <a:ln>
                      <a:noFill/>
                    </a:ln>
                  </pic:spPr>
                </pic:pic>
              </a:graphicData>
            </a:graphic>
          </wp:inline>
        </w:drawing>
      </w:r>
    </w:p>
    <w:p w14:paraId="2E64239F">
      <w:pPr>
        <w:pStyle w:val="30"/>
        <w:bidi w:val="0"/>
      </w:pPr>
      <w:r>
        <w:t>多维度满意度调查功能支持在工单办结后，自动或手动向发起方发起满意度评价收集。系统可根据工单所属省份、客户类型等维度对评价结果进行自动归类与统计分析，为服务质量评估、区域服务改进及差异化客户服务策略制定提供数据洞察。</w:t>
      </w:r>
    </w:p>
    <w:p w14:paraId="33DFFDAD">
      <w:pPr>
        <w:pStyle w:val="30"/>
        <w:bidi w:val="0"/>
        <w:ind w:left="0" w:leftChars="0" w:right="0" w:rightChars="0" w:firstLine="0" w:firstLineChars="0"/>
        <w:jc w:val="both"/>
        <w:rPr>
          <w:rFonts w:hint="default"/>
          <w:lang w:val="en-US" w:eastAsia="zh-CN"/>
        </w:rPr>
      </w:pPr>
    </w:p>
    <w:p w14:paraId="14AEE050">
      <w:pPr>
        <w:pStyle w:val="31"/>
        <w:numPr>
          <w:ilvl w:val="1"/>
          <w:numId w:val="1"/>
        </w:numPr>
        <w:bidi w:val="0"/>
        <w:rPr>
          <w:rFonts w:hint="default"/>
          <w:lang w:val="en-US" w:eastAsia="zh-CN"/>
        </w:rPr>
      </w:pPr>
      <w:bookmarkStart w:id="16" w:name="_Toc5886"/>
      <w:r>
        <w:rPr>
          <w:rFonts w:hint="eastAsia"/>
          <w:lang w:val="en-US" w:eastAsia="zh-CN"/>
        </w:rPr>
        <w:t>监控工具</w:t>
      </w:r>
      <w:bookmarkEnd w:id="16"/>
    </w:p>
    <w:p w14:paraId="7C2B1AB4">
      <w:pPr>
        <w:pStyle w:val="32"/>
        <w:numPr>
          <w:ilvl w:val="2"/>
          <w:numId w:val="1"/>
        </w:numPr>
        <w:bidi w:val="0"/>
        <w:rPr>
          <w:rFonts w:hint="eastAsia"/>
          <w:lang w:val="en-US" w:eastAsia="zh-CN"/>
        </w:rPr>
      </w:pPr>
      <w:bookmarkStart w:id="17" w:name="_Toc6808"/>
      <w:r>
        <w:rPr>
          <w:rFonts w:hint="eastAsia"/>
          <w:lang w:val="en-US" w:eastAsia="zh-CN"/>
        </w:rPr>
        <w:t>软件名称</w:t>
      </w:r>
      <w:bookmarkEnd w:id="17"/>
    </w:p>
    <w:p w14:paraId="568E74E6">
      <w:pPr>
        <w:pStyle w:val="30"/>
        <w:rPr>
          <w:rFonts w:hint="default"/>
          <w:lang w:val="en-US" w:eastAsia="zh-CN"/>
        </w:rPr>
      </w:pPr>
      <w:r>
        <w:rPr>
          <w:rFonts w:hint="eastAsia"/>
          <w:lang w:val="en-US" w:eastAsia="zh-CN"/>
        </w:rPr>
        <w:t>智瞰哨兵管理平台</w:t>
      </w:r>
    </w:p>
    <w:p w14:paraId="73AC9BDA">
      <w:pPr>
        <w:pStyle w:val="32"/>
        <w:numPr>
          <w:ilvl w:val="2"/>
          <w:numId w:val="1"/>
        </w:numPr>
        <w:bidi w:val="0"/>
        <w:rPr>
          <w:rFonts w:hint="eastAsia"/>
          <w:lang w:val="en-US" w:eastAsia="zh-CN"/>
        </w:rPr>
      </w:pPr>
      <w:bookmarkStart w:id="18" w:name="_Toc10711"/>
      <w:r>
        <w:rPr>
          <w:rFonts w:hint="eastAsia"/>
          <w:lang w:val="en-US" w:eastAsia="zh-CN"/>
        </w:rPr>
        <w:t>软件来源</w:t>
      </w:r>
      <w:bookmarkEnd w:id="18"/>
    </w:p>
    <w:p w14:paraId="3A9AA45B">
      <w:pPr>
        <w:pStyle w:val="30"/>
        <w:rPr>
          <w:rFonts w:hint="default"/>
          <w:lang w:val="en-US" w:eastAsia="zh-CN"/>
        </w:rPr>
      </w:pPr>
      <w:r>
        <w:rPr>
          <w:rFonts w:hint="eastAsia"/>
          <w:lang w:val="en-US" w:eastAsia="zh-CN"/>
        </w:rPr>
        <w:t>外购</w:t>
      </w:r>
    </w:p>
    <w:p w14:paraId="04810A0C">
      <w:pPr>
        <w:pStyle w:val="32"/>
        <w:numPr>
          <w:ilvl w:val="2"/>
          <w:numId w:val="1"/>
        </w:numPr>
        <w:bidi w:val="0"/>
        <w:rPr>
          <w:rFonts w:hint="eastAsia"/>
          <w:lang w:val="en-US" w:eastAsia="zh-CN"/>
        </w:rPr>
      </w:pPr>
      <w:bookmarkStart w:id="19" w:name="_Toc29412"/>
      <w:r>
        <w:rPr>
          <w:rFonts w:hint="eastAsia"/>
          <w:lang w:val="en-US" w:eastAsia="zh-CN"/>
        </w:rPr>
        <w:t>软件特色</w:t>
      </w:r>
      <w:bookmarkEnd w:id="19"/>
    </w:p>
    <w:p w14:paraId="044E2C93">
      <w:pPr>
        <w:pStyle w:val="30"/>
        <w:rPr>
          <w:rFonts w:hint="eastAsia"/>
          <w:lang w:val="en-US" w:eastAsia="zh-CN"/>
        </w:rPr>
      </w:pPr>
      <w:r>
        <w:rPr>
          <w:rFonts w:hint="eastAsia"/>
          <w:lang w:val="en-US" w:eastAsia="zh-CN"/>
        </w:rPr>
        <w:t>以服务价值链为核心，创造性地打通了从通信机房设备到客户业务体验的完整数据链条。它的最大特色在于实现了 “三个贯通”：一是横向到边的专业贯通，深度集成通信网络、动环等专业监控，形成统一视图；二是纵向到底的业务贯通，能将底层基础设施告警实时关联影响的上层业务服务和具体客户合同；三是管理闭环的流程贯通，让监控数据能自动驱动事件、容量管理和服务报告，最终将技术数据转化为可直接衡量服务价值和管理效能的管理语言，驱动运维从被动响应转向主动运营。</w:t>
      </w:r>
    </w:p>
    <w:p w14:paraId="016E7D75">
      <w:pPr>
        <w:pStyle w:val="32"/>
        <w:numPr>
          <w:ilvl w:val="2"/>
          <w:numId w:val="1"/>
        </w:numPr>
        <w:bidi w:val="0"/>
        <w:rPr>
          <w:rFonts w:hint="eastAsia"/>
          <w:lang w:val="en-US" w:eastAsia="zh-CN"/>
        </w:rPr>
      </w:pPr>
      <w:bookmarkStart w:id="20" w:name="_Toc9358"/>
      <w:r>
        <w:rPr>
          <w:rFonts w:hint="eastAsia"/>
          <w:lang w:val="en-US" w:eastAsia="zh-CN"/>
        </w:rPr>
        <w:t>功能介绍</w:t>
      </w:r>
      <w:bookmarkEnd w:id="20"/>
    </w:p>
    <w:p w14:paraId="0ABE2B67">
      <w:pPr>
        <w:pStyle w:val="30"/>
        <w:rPr>
          <w:rFonts w:hint="default"/>
          <w:lang w:val="en-US" w:eastAsia="zh-CN"/>
        </w:rPr>
      </w:pPr>
      <w:r>
        <w:rPr>
          <w:rFonts w:hint="eastAsia"/>
          <w:lang w:val="en-US" w:eastAsia="zh-CN"/>
        </w:rPr>
        <w:t>全局服务态势感知中心包含资源概况、关键业务实时运行、专线可用率三部分。可根据需要分别进行查看。</w:t>
      </w:r>
    </w:p>
    <w:p w14:paraId="4A5343EA">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 xml:space="preserve"> 全局服务态势感知中心</w:t>
      </w:r>
    </w:p>
    <w:p w14:paraId="096BB983">
      <w:pPr>
        <w:pStyle w:val="30"/>
        <w:ind w:left="0" w:leftChars="0" w:right="0" w:rightChars="0" w:firstLine="0" w:firstLineChars="0"/>
        <w:jc w:val="center"/>
        <w:rPr>
          <w:rFonts w:hint="default"/>
          <w:lang w:val="en-US" w:eastAsia="zh-CN"/>
        </w:rPr>
      </w:pPr>
      <w:r>
        <w:drawing>
          <wp:inline distT="0" distB="0" distL="114300" distR="114300">
            <wp:extent cx="5262245" cy="2390775"/>
            <wp:effectExtent l="0" t="0" r="10795"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7"/>
                    <a:stretch>
                      <a:fillRect/>
                    </a:stretch>
                  </pic:blipFill>
                  <pic:spPr>
                    <a:xfrm>
                      <a:off x="0" y="0"/>
                      <a:ext cx="5262245" cy="2390775"/>
                    </a:xfrm>
                    <a:prstGeom prst="rect">
                      <a:avLst/>
                    </a:prstGeom>
                    <a:noFill/>
                    <a:ln>
                      <a:noFill/>
                    </a:ln>
                  </pic:spPr>
                </pic:pic>
              </a:graphicData>
            </a:graphic>
          </wp:inline>
        </w:drawing>
      </w:r>
    </w:p>
    <w:p w14:paraId="1976DB4D">
      <w:pPr>
        <w:pStyle w:val="30"/>
        <w:bidi w:val="0"/>
        <w:rPr>
          <w:rFonts w:hint="default"/>
          <w:lang w:val="en-US" w:eastAsia="zh-CN"/>
        </w:rPr>
      </w:pPr>
      <w:r>
        <w:rPr>
          <w:rFonts w:hint="eastAsia"/>
          <w:lang w:val="en-US" w:eastAsia="zh-CN"/>
        </w:rPr>
        <w:t>资源概况主要用于监控主机、CPU、内存、硬盘、带宽使用情况，饼状图展示占用情况。</w:t>
      </w:r>
    </w:p>
    <w:p w14:paraId="21FBE44B">
      <w:pPr>
        <w:pStyle w:val="30"/>
        <w:bidi w:val="0"/>
        <w:rPr>
          <w:rFonts w:hint="default"/>
          <w:lang w:val="en-US" w:eastAsia="zh-CN"/>
        </w:rPr>
      </w:pPr>
    </w:p>
    <w:p w14:paraId="1BEBD345">
      <w:pPr>
        <w:pStyle w:val="30"/>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 xml:space="preserve"> 资源概况</w:t>
      </w:r>
    </w:p>
    <w:p w14:paraId="741F07F6">
      <w:pPr>
        <w:pStyle w:val="30"/>
        <w:bidi w:val="0"/>
        <w:ind w:left="0" w:leftChars="0" w:right="0" w:rightChars="0" w:firstLine="0" w:firstLineChars="0"/>
        <w:jc w:val="center"/>
      </w:pPr>
      <w:r>
        <w:drawing>
          <wp:inline distT="0" distB="0" distL="114300" distR="114300">
            <wp:extent cx="5260975" cy="2614295"/>
            <wp:effectExtent l="0" t="0" r="12065" b="698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8"/>
                    <a:stretch>
                      <a:fillRect/>
                    </a:stretch>
                  </pic:blipFill>
                  <pic:spPr>
                    <a:xfrm>
                      <a:off x="0" y="0"/>
                      <a:ext cx="5260975" cy="2614295"/>
                    </a:xfrm>
                    <a:prstGeom prst="rect">
                      <a:avLst/>
                    </a:prstGeom>
                    <a:noFill/>
                    <a:ln>
                      <a:noFill/>
                    </a:ln>
                  </pic:spPr>
                </pic:pic>
              </a:graphicData>
            </a:graphic>
          </wp:inline>
        </w:drawing>
      </w:r>
    </w:p>
    <w:p w14:paraId="68884C2E">
      <w:pPr>
        <w:pStyle w:val="30"/>
        <w:bidi w:val="0"/>
        <w:rPr>
          <w:rFonts w:hint="default"/>
          <w:lang w:val="en-US" w:eastAsia="zh-CN"/>
        </w:rPr>
      </w:pPr>
      <w:r>
        <w:rPr>
          <w:rFonts w:hint="eastAsia"/>
          <w:lang w:val="en-US" w:eastAsia="zh-CN"/>
        </w:rPr>
        <w:t>网络拓扑图监控用于监控业务总件的总数量和业务总件状态，并以拓扑图的形式展示关联关系。</w:t>
      </w:r>
    </w:p>
    <w:p w14:paraId="5E6B0EB3">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 xml:space="preserve"> 关键业务运行-网络拓扑图</w:t>
      </w:r>
    </w:p>
    <w:p w14:paraId="67DA545F">
      <w:pPr>
        <w:pStyle w:val="30"/>
        <w:ind w:left="0" w:leftChars="0" w:right="0" w:rightChars="0" w:firstLine="0" w:firstLineChars="0"/>
        <w:jc w:val="center"/>
      </w:pPr>
      <w:r>
        <w:drawing>
          <wp:inline distT="0" distB="0" distL="114300" distR="114300">
            <wp:extent cx="5265420" cy="2671445"/>
            <wp:effectExtent l="0" t="0" r="7620" b="1079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9"/>
                    <a:stretch>
                      <a:fillRect/>
                    </a:stretch>
                  </pic:blipFill>
                  <pic:spPr>
                    <a:xfrm>
                      <a:off x="0" y="0"/>
                      <a:ext cx="5265420" cy="2671445"/>
                    </a:xfrm>
                    <a:prstGeom prst="rect">
                      <a:avLst/>
                    </a:prstGeom>
                    <a:noFill/>
                    <a:ln>
                      <a:noFill/>
                    </a:ln>
                  </pic:spPr>
                </pic:pic>
              </a:graphicData>
            </a:graphic>
          </wp:inline>
        </w:drawing>
      </w:r>
    </w:p>
    <w:p w14:paraId="07B5C47D">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r>
        <w:rPr>
          <w:rFonts w:hint="eastAsia"/>
          <w:lang w:val="en-US" w:eastAsia="zh-CN"/>
        </w:rPr>
        <w:t xml:space="preserve"> 专线可用率</w:t>
      </w:r>
    </w:p>
    <w:p w14:paraId="36D5C041">
      <w:pPr>
        <w:pStyle w:val="30"/>
        <w:ind w:left="0" w:leftChars="0" w:right="0" w:rightChars="0" w:firstLine="0" w:firstLineChars="0"/>
        <w:jc w:val="center"/>
      </w:pPr>
      <w:r>
        <w:drawing>
          <wp:inline distT="0" distB="0" distL="114300" distR="114300">
            <wp:extent cx="5265420" cy="2949575"/>
            <wp:effectExtent l="0" t="0" r="7620" b="698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0"/>
                    <a:stretch>
                      <a:fillRect/>
                    </a:stretch>
                  </pic:blipFill>
                  <pic:spPr>
                    <a:xfrm>
                      <a:off x="0" y="0"/>
                      <a:ext cx="5265420" cy="2949575"/>
                    </a:xfrm>
                    <a:prstGeom prst="rect">
                      <a:avLst/>
                    </a:prstGeom>
                    <a:noFill/>
                    <a:ln>
                      <a:noFill/>
                    </a:ln>
                  </pic:spPr>
                </pic:pic>
              </a:graphicData>
            </a:graphic>
          </wp:inline>
        </w:drawing>
      </w:r>
    </w:p>
    <w:p w14:paraId="01505A1A">
      <w:pPr>
        <w:pStyle w:val="30"/>
        <w:bidi w:val="0"/>
        <w:rPr>
          <w:rFonts w:hint="eastAsia"/>
          <w:lang w:val="en-US" w:eastAsia="zh-CN"/>
        </w:rPr>
      </w:pPr>
      <w:r>
        <w:rPr>
          <w:rFonts w:hint="eastAsia"/>
          <w:lang w:val="en-US" w:eastAsia="zh-CN"/>
        </w:rPr>
        <w:t>平台支持立体化信息监控，主要是设备监控、链路监控、环境动力监控</w:t>
      </w:r>
    </w:p>
    <w:p w14:paraId="6F5FB900">
      <w:pPr>
        <w:pStyle w:val="30"/>
        <w:bidi w:val="0"/>
        <w:rPr>
          <w:rFonts w:hint="default"/>
          <w:lang w:val="en-US" w:eastAsia="zh-CN"/>
        </w:rPr>
      </w:pPr>
      <w:r>
        <w:rPr>
          <w:rFonts w:hint="eastAsia"/>
          <w:lang w:val="en-US" w:eastAsia="zh-CN"/>
        </w:rPr>
        <w:t>设备监控的主要是监控设备的使用状态，链路监控主要是链路的状态和流量趋势等性能指标，环境动力监控主要是UPS电源、电压等内容监控</w:t>
      </w:r>
    </w:p>
    <w:p w14:paraId="2918A264">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r>
        <w:rPr>
          <w:rFonts w:hint="eastAsia"/>
          <w:lang w:val="en-US" w:eastAsia="zh-CN"/>
        </w:rPr>
        <w:t xml:space="preserve"> 设备监控</w:t>
      </w:r>
    </w:p>
    <w:p w14:paraId="17D0309B">
      <w:pPr>
        <w:pStyle w:val="30"/>
        <w:ind w:left="0" w:leftChars="0" w:right="0" w:rightChars="0" w:firstLine="0" w:firstLineChars="0"/>
        <w:jc w:val="center"/>
        <w:rPr>
          <w:rFonts w:hint="default"/>
          <w:lang w:val="en-US" w:eastAsia="zh-CN"/>
        </w:rPr>
      </w:pPr>
      <w:r>
        <w:drawing>
          <wp:inline distT="0" distB="0" distL="114300" distR="114300">
            <wp:extent cx="5271135" cy="2408555"/>
            <wp:effectExtent l="0" t="0" r="1905" b="1460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1"/>
                    <a:stretch>
                      <a:fillRect/>
                    </a:stretch>
                  </pic:blipFill>
                  <pic:spPr>
                    <a:xfrm>
                      <a:off x="0" y="0"/>
                      <a:ext cx="5271135" cy="2408555"/>
                    </a:xfrm>
                    <a:prstGeom prst="rect">
                      <a:avLst/>
                    </a:prstGeom>
                    <a:noFill/>
                    <a:ln>
                      <a:noFill/>
                    </a:ln>
                  </pic:spPr>
                </pic:pic>
              </a:graphicData>
            </a:graphic>
          </wp:inline>
        </w:drawing>
      </w:r>
    </w:p>
    <w:p w14:paraId="23C017D7">
      <w:pPr>
        <w:rPr>
          <w:rFonts w:hint="eastAsia"/>
          <w:lang w:val="en-US" w:eastAsia="zh-CN"/>
        </w:rPr>
      </w:pPr>
      <w:r>
        <w:rPr>
          <w:rFonts w:hint="eastAsia"/>
          <w:lang w:val="en-US" w:eastAsia="zh-CN"/>
        </w:rPr>
        <w:br w:type="page"/>
      </w:r>
    </w:p>
    <w:p w14:paraId="68E1C876">
      <w:pPr>
        <w:pStyle w:val="30"/>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10</w:t>
      </w:r>
      <w:r>
        <w:rPr>
          <w:rFonts w:hint="eastAsia"/>
          <w:lang w:val="en-US" w:eastAsia="zh-CN"/>
        </w:rPr>
        <w:fldChar w:fldCharType="end"/>
      </w:r>
      <w:r>
        <w:rPr>
          <w:rFonts w:hint="eastAsia"/>
          <w:lang w:val="en-US" w:eastAsia="zh-CN"/>
        </w:rPr>
        <w:t xml:space="preserve"> 链路监控</w:t>
      </w:r>
    </w:p>
    <w:p w14:paraId="02D6D8DA">
      <w:pPr>
        <w:pStyle w:val="30"/>
        <w:ind w:left="0" w:leftChars="0" w:right="0" w:rightChars="0" w:firstLine="0" w:firstLineChars="0"/>
        <w:jc w:val="center"/>
      </w:pPr>
      <w:r>
        <w:drawing>
          <wp:inline distT="0" distB="0" distL="114300" distR="114300">
            <wp:extent cx="5260975" cy="2256155"/>
            <wp:effectExtent l="0" t="0" r="12065" b="1460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2"/>
                    <a:stretch>
                      <a:fillRect/>
                    </a:stretch>
                  </pic:blipFill>
                  <pic:spPr>
                    <a:xfrm>
                      <a:off x="0" y="0"/>
                      <a:ext cx="5260975" cy="2256155"/>
                    </a:xfrm>
                    <a:prstGeom prst="rect">
                      <a:avLst/>
                    </a:prstGeom>
                    <a:noFill/>
                    <a:ln>
                      <a:noFill/>
                    </a:ln>
                  </pic:spPr>
                </pic:pic>
              </a:graphicData>
            </a:graphic>
          </wp:inline>
        </w:drawing>
      </w:r>
    </w:p>
    <w:p w14:paraId="56E941F3">
      <w:pPr>
        <w:pStyle w:val="30"/>
        <w:ind w:left="0" w:leftChars="0" w:right="0" w:rightChars="0" w:firstLine="0" w:firstLineChars="0"/>
        <w:jc w:val="center"/>
        <w:rPr>
          <w:rFonts w:hint="default"/>
          <w:lang w:val="en-US" w:eastAsia="zh-CN"/>
        </w:rPr>
      </w:pPr>
    </w:p>
    <w:p w14:paraId="14704CCD">
      <w:pPr>
        <w:pStyle w:val="30"/>
        <w:bidi w:val="0"/>
        <w:rPr>
          <w:rFonts w:hint="eastAsia"/>
          <w:lang w:val="en-US" w:eastAsia="zh-CN"/>
        </w:rPr>
      </w:pPr>
      <w:r>
        <w:rPr>
          <w:rFonts w:hint="eastAsia"/>
          <w:lang w:val="en-US" w:eastAsia="zh-CN"/>
        </w:rPr>
        <w:t>应用性能监控主要是监控中间件，包括JVM监控和中间件性能监控，可根据需要进行查看</w:t>
      </w:r>
    </w:p>
    <w:p w14:paraId="3E506655">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11</w:t>
      </w:r>
      <w:r>
        <w:rPr>
          <w:rFonts w:hint="eastAsia"/>
          <w:lang w:val="en-US" w:eastAsia="zh-CN"/>
        </w:rPr>
        <w:fldChar w:fldCharType="end"/>
      </w:r>
      <w:r>
        <w:rPr>
          <w:rFonts w:hint="eastAsia"/>
          <w:lang w:val="en-US" w:eastAsia="zh-CN"/>
        </w:rPr>
        <w:t xml:space="preserve"> JVM监控</w:t>
      </w:r>
    </w:p>
    <w:p w14:paraId="6A2CE563">
      <w:pPr>
        <w:pStyle w:val="30"/>
        <w:ind w:left="0" w:leftChars="0" w:right="0" w:rightChars="0" w:firstLine="0" w:firstLineChars="0"/>
        <w:jc w:val="center"/>
      </w:pPr>
      <w:r>
        <w:drawing>
          <wp:inline distT="0" distB="0" distL="114300" distR="114300">
            <wp:extent cx="5266055" cy="2728595"/>
            <wp:effectExtent l="0" t="0" r="6985" b="1460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23"/>
                    <a:stretch>
                      <a:fillRect/>
                    </a:stretch>
                  </pic:blipFill>
                  <pic:spPr>
                    <a:xfrm>
                      <a:off x="0" y="0"/>
                      <a:ext cx="5266055" cy="2728595"/>
                    </a:xfrm>
                    <a:prstGeom prst="rect">
                      <a:avLst/>
                    </a:prstGeom>
                    <a:noFill/>
                    <a:ln>
                      <a:noFill/>
                    </a:ln>
                  </pic:spPr>
                </pic:pic>
              </a:graphicData>
            </a:graphic>
          </wp:inline>
        </w:drawing>
      </w:r>
    </w:p>
    <w:p w14:paraId="5DDDC4F9">
      <w:pPr>
        <w:pStyle w:val="30"/>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12</w:t>
      </w:r>
      <w:r>
        <w:rPr>
          <w:rFonts w:hint="eastAsia"/>
          <w:lang w:val="en-US" w:eastAsia="zh-CN"/>
        </w:rPr>
        <w:fldChar w:fldCharType="end"/>
      </w:r>
      <w:r>
        <w:rPr>
          <w:rFonts w:hint="eastAsia"/>
          <w:lang w:val="en-US" w:eastAsia="zh-CN"/>
        </w:rPr>
        <w:t xml:space="preserve"> GC活动记录</w:t>
      </w:r>
    </w:p>
    <w:p w14:paraId="779B8B11">
      <w:pPr>
        <w:pStyle w:val="30"/>
        <w:ind w:left="0" w:leftChars="0" w:right="0" w:rightChars="0" w:firstLine="0" w:firstLineChars="0"/>
        <w:jc w:val="center"/>
      </w:pPr>
      <w:r>
        <w:drawing>
          <wp:inline distT="0" distB="0" distL="114300" distR="114300">
            <wp:extent cx="5274310" cy="1240155"/>
            <wp:effectExtent l="0" t="0" r="13970" b="9525"/>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24"/>
                    <a:stretch>
                      <a:fillRect/>
                    </a:stretch>
                  </pic:blipFill>
                  <pic:spPr>
                    <a:xfrm>
                      <a:off x="0" y="0"/>
                      <a:ext cx="5274310" cy="1240155"/>
                    </a:xfrm>
                    <a:prstGeom prst="rect">
                      <a:avLst/>
                    </a:prstGeom>
                    <a:noFill/>
                    <a:ln>
                      <a:noFill/>
                    </a:ln>
                  </pic:spPr>
                </pic:pic>
              </a:graphicData>
            </a:graphic>
          </wp:inline>
        </w:drawing>
      </w:r>
    </w:p>
    <w:p w14:paraId="672A2121">
      <w:pPr>
        <w:rPr>
          <w:rFonts w:hint="eastAsia"/>
          <w:lang w:val="en-US" w:eastAsia="zh-CN"/>
        </w:rPr>
      </w:pPr>
      <w:r>
        <w:rPr>
          <w:rFonts w:hint="eastAsia"/>
          <w:lang w:val="en-US" w:eastAsia="zh-CN"/>
        </w:rPr>
        <w:br w:type="page"/>
      </w:r>
    </w:p>
    <w:p w14:paraId="3E26F2A5">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13</w:t>
      </w:r>
      <w:r>
        <w:rPr>
          <w:rFonts w:hint="eastAsia"/>
          <w:lang w:val="en-US" w:eastAsia="zh-CN"/>
        </w:rPr>
        <w:fldChar w:fldCharType="end"/>
      </w:r>
      <w:r>
        <w:rPr>
          <w:rFonts w:hint="eastAsia"/>
          <w:lang w:val="en-US" w:eastAsia="zh-CN"/>
        </w:rPr>
        <w:t xml:space="preserve"> 中间件性能监控</w:t>
      </w:r>
    </w:p>
    <w:p w14:paraId="5386F54E">
      <w:pPr>
        <w:pStyle w:val="30"/>
        <w:ind w:left="0" w:leftChars="0" w:right="0" w:rightChars="0" w:firstLine="0" w:firstLineChars="0"/>
        <w:jc w:val="center"/>
      </w:pPr>
      <w:r>
        <w:drawing>
          <wp:inline distT="0" distB="0" distL="114300" distR="114300">
            <wp:extent cx="5269865" cy="2786380"/>
            <wp:effectExtent l="0" t="0" r="3175" b="254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25"/>
                    <a:stretch>
                      <a:fillRect/>
                    </a:stretch>
                  </pic:blipFill>
                  <pic:spPr>
                    <a:xfrm>
                      <a:off x="0" y="0"/>
                      <a:ext cx="5269865" cy="2786380"/>
                    </a:xfrm>
                    <a:prstGeom prst="rect">
                      <a:avLst/>
                    </a:prstGeom>
                    <a:noFill/>
                    <a:ln>
                      <a:noFill/>
                    </a:ln>
                  </pic:spPr>
                </pic:pic>
              </a:graphicData>
            </a:graphic>
          </wp:inline>
        </w:drawing>
      </w:r>
    </w:p>
    <w:p w14:paraId="5F774AA2">
      <w:pPr>
        <w:pStyle w:val="30"/>
        <w:bidi w:val="0"/>
        <w:rPr>
          <w:rFonts w:hint="default"/>
          <w:lang w:val="en-US" w:eastAsia="zh-CN"/>
        </w:rPr>
      </w:pPr>
      <w:r>
        <w:rPr>
          <w:rFonts w:hint="eastAsia"/>
          <w:lang w:val="en-US" w:eastAsia="zh-CN"/>
        </w:rPr>
        <w:t>告警模板主要是报警规则设置、报警日志</w:t>
      </w:r>
      <w:r>
        <w:rPr>
          <w:rFonts w:hint="eastAsia"/>
          <w:lang w:val="en-US" w:eastAsia="zh-CN"/>
        </w:rPr>
        <w:tab/>
      </w:r>
      <w:r>
        <w:rPr>
          <w:rFonts w:hint="eastAsia"/>
          <w:lang w:val="en-US" w:eastAsia="zh-CN"/>
        </w:rPr>
        <w:t>用于通知运维人员及时对报警信息处置。</w:t>
      </w:r>
    </w:p>
    <w:p w14:paraId="257957CA">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14</w:t>
      </w:r>
      <w:r>
        <w:rPr>
          <w:rFonts w:hint="eastAsia"/>
          <w:lang w:val="en-US" w:eastAsia="zh-CN"/>
        </w:rPr>
        <w:fldChar w:fldCharType="end"/>
      </w:r>
      <w:r>
        <w:rPr>
          <w:rFonts w:hint="eastAsia"/>
          <w:lang w:val="en-US" w:eastAsia="zh-CN"/>
        </w:rPr>
        <w:t xml:space="preserve"> 告警管理</w:t>
      </w:r>
    </w:p>
    <w:p w14:paraId="0E3F4380">
      <w:pPr>
        <w:pStyle w:val="30"/>
        <w:ind w:left="0" w:leftChars="0" w:right="0" w:rightChars="0" w:firstLine="0" w:firstLineChars="0"/>
        <w:jc w:val="center"/>
      </w:pPr>
      <w:r>
        <w:drawing>
          <wp:inline distT="0" distB="0" distL="114300" distR="114300">
            <wp:extent cx="5271135" cy="2397125"/>
            <wp:effectExtent l="0" t="0" r="1905" b="10795"/>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26"/>
                    <a:stretch>
                      <a:fillRect/>
                    </a:stretch>
                  </pic:blipFill>
                  <pic:spPr>
                    <a:xfrm>
                      <a:off x="0" y="0"/>
                      <a:ext cx="5271135" cy="2397125"/>
                    </a:xfrm>
                    <a:prstGeom prst="rect">
                      <a:avLst/>
                    </a:prstGeom>
                    <a:noFill/>
                    <a:ln>
                      <a:noFill/>
                    </a:ln>
                  </pic:spPr>
                </pic:pic>
              </a:graphicData>
            </a:graphic>
          </wp:inline>
        </w:drawing>
      </w:r>
    </w:p>
    <w:p w14:paraId="21802B63">
      <w:pPr>
        <w:pStyle w:val="30"/>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15</w:t>
      </w:r>
      <w:r>
        <w:rPr>
          <w:rFonts w:hint="eastAsia"/>
          <w:lang w:val="en-US" w:eastAsia="zh-CN"/>
        </w:rPr>
        <w:fldChar w:fldCharType="end"/>
      </w:r>
      <w:r>
        <w:rPr>
          <w:rFonts w:hint="eastAsia"/>
          <w:lang w:val="en-US" w:eastAsia="zh-CN"/>
        </w:rPr>
        <w:t xml:space="preserve"> 报警规则设置</w:t>
      </w:r>
    </w:p>
    <w:p w14:paraId="131B4766">
      <w:pPr>
        <w:pStyle w:val="30"/>
        <w:ind w:left="0" w:leftChars="0" w:right="0" w:rightChars="0" w:firstLine="0" w:firstLineChars="0"/>
        <w:jc w:val="center"/>
      </w:pPr>
      <w:r>
        <w:drawing>
          <wp:inline distT="0" distB="0" distL="114300" distR="114300">
            <wp:extent cx="5273040" cy="3708400"/>
            <wp:effectExtent l="0" t="0" r="0" b="10160"/>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27"/>
                    <a:stretch>
                      <a:fillRect/>
                    </a:stretch>
                  </pic:blipFill>
                  <pic:spPr>
                    <a:xfrm>
                      <a:off x="0" y="0"/>
                      <a:ext cx="5273040" cy="3708400"/>
                    </a:xfrm>
                    <a:prstGeom prst="rect">
                      <a:avLst/>
                    </a:prstGeom>
                    <a:noFill/>
                    <a:ln>
                      <a:noFill/>
                    </a:ln>
                  </pic:spPr>
                </pic:pic>
              </a:graphicData>
            </a:graphic>
          </wp:inline>
        </w:drawing>
      </w:r>
    </w:p>
    <w:p w14:paraId="32169514">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16</w:t>
      </w:r>
      <w:r>
        <w:rPr>
          <w:rFonts w:hint="eastAsia"/>
          <w:lang w:val="en-US" w:eastAsia="zh-CN"/>
        </w:rPr>
        <w:fldChar w:fldCharType="end"/>
      </w:r>
      <w:r>
        <w:rPr>
          <w:rFonts w:hint="eastAsia"/>
          <w:lang w:val="en-US" w:eastAsia="zh-CN"/>
        </w:rPr>
        <w:t xml:space="preserve"> 报警日志</w:t>
      </w:r>
    </w:p>
    <w:p w14:paraId="73890539">
      <w:pPr>
        <w:pStyle w:val="30"/>
        <w:ind w:left="0" w:leftChars="0" w:right="0" w:rightChars="0" w:firstLine="0" w:firstLineChars="0"/>
        <w:jc w:val="center"/>
      </w:pPr>
      <w:r>
        <w:drawing>
          <wp:inline distT="0" distB="0" distL="114300" distR="114300">
            <wp:extent cx="5262880" cy="1995805"/>
            <wp:effectExtent l="0" t="0" r="10160" b="635"/>
            <wp:docPr id="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pic:cNvPicPr>
                      <a:picLocks noChangeAspect="1"/>
                    </pic:cNvPicPr>
                  </pic:nvPicPr>
                  <pic:blipFill>
                    <a:blip r:embed="rId28"/>
                    <a:stretch>
                      <a:fillRect/>
                    </a:stretch>
                  </pic:blipFill>
                  <pic:spPr>
                    <a:xfrm>
                      <a:off x="0" y="0"/>
                      <a:ext cx="5262880" cy="1995805"/>
                    </a:xfrm>
                    <a:prstGeom prst="rect">
                      <a:avLst/>
                    </a:prstGeom>
                    <a:noFill/>
                    <a:ln>
                      <a:noFill/>
                    </a:ln>
                  </pic:spPr>
                </pic:pic>
              </a:graphicData>
            </a:graphic>
          </wp:inline>
        </w:drawing>
      </w:r>
    </w:p>
    <w:p w14:paraId="35CA2731">
      <w:pPr>
        <w:pStyle w:val="30"/>
        <w:ind w:left="0" w:leftChars="0" w:right="0" w:rightChars="0" w:firstLine="0" w:firstLineChars="0"/>
        <w:jc w:val="center"/>
        <w:rPr>
          <w:rFonts w:hint="default"/>
          <w:lang w:val="en-US" w:eastAsia="zh-CN"/>
        </w:rPr>
      </w:pPr>
      <w:r>
        <w:drawing>
          <wp:inline distT="0" distB="0" distL="114300" distR="114300">
            <wp:extent cx="5272405" cy="1537335"/>
            <wp:effectExtent l="0" t="0" r="635" b="1905"/>
            <wp:docPr id="3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6"/>
                    <pic:cNvPicPr>
                      <a:picLocks noChangeAspect="1"/>
                    </pic:cNvPicPr>
                  </pic:nvPicPr>
                  <pic:blipFill>
                    <a:blip r:embed="rId29"/>
                    <a:stretch>
                      <a:fillRect/>
                    </a:stretch>
                  </pic:blipFill>
                  <pic:spPr>
                    <a:xfrm>
                      <a:off x="0" y="0"/>
                      <a:ext cx="5272405" cy="1537335"/>
                    </a:xfrm>
                    <a:prstGeom prst="rect">
                      <a:avLst/>
                    </a:prstGeom>
                    <a:noFill/>
                    <a:ln>
                      <a:noFill/>
                    </a:ln>
                  </pic:spPr>
                </pic:pic>
              </a:graphicData>
            </a:graphic>
          </wp:inline>
        </w:drawing>
      </w:r>
    </w:p>
    <w:p w14:paraId="143AB611">
      <w:pPr>
        <w:pStyle w:val="31"/>
        <w:numPr>
          <w:ilvl w:val="1"/>
          <w:numId w:val="1"/>
        </w:numPr>
        <w:bidi w:val="0"/>
        <w:rPr>
          <w:rFonts w:hint="default"/>
          <w:lang w:val="en-US" w:eastAsia="zh-CN"/>
        </w:rPr>
      </w:pPr>
      <w:bookmarkStart w:id="21" w:name="_Toc21904"/>
      <w:r>
        <w:rPr>
          <w:rFonts w:hint="eastAsia"/>
          <w:lang w:val="en-US" w:eastAsia="zh-CN"/>
        </w:rPr>
        <w:t>服务知识工具</w:t>
      </w:r>
      <w:bookmarkEnd w:id="21"/>
    </w:p>
    <w:p w14:paraId="156FBF49">
      <w:pPr>
        <w:pStyle w:val="32"/>
        <w:bidi w:val="0"/>
        <w:rPr>
          <w:rFonts w:hint="eastAsia"/>
          <w:lang w:val="en-US" w:eastAsia="zh-CN"/>
        </w:rPr>
      </w:pPr>
      <w:bookmarkStart w:id="22" w:name="_Toc27454"/>
      <w:r>
        <w:rPr>
          <w:rFonts w:hint="eastAsia"/>
          <w:lang w:val="en-US" w:eastAsia="zh-CN"/>
        </w:rPr>
        <w:t>软件名称</w:t>
      </w:r>
      <w:bookmarkEnd w:id="22"/>
    </w:p>
    <w:p w14:paraId="738EB127">
      <w:pPr>
        <w:pStyle w:val="30"/>
        <w:rPr>
          <w:rFonts w:hint="eastAsia"/>
          <w:lang w:val="en-US" w:eastAsia="zh-CN"/>
        </w:rPr>
      </w:pPr>
      <w:r>
        <w:rPr>
          <w:rFonts w:hint="eastAsia" w:ascii="宋体"/>
          <w:sz w:val="21"/>
          <w:lang w:val="en-US" w:eastAsia="zh-CN"/>
        </w:rPr>
        <w:t>华数</w:t>
      </w:r>
      <w:r>
        <w:rPr>
          <w:rFonts w:hint="eastAsia" w:ascii="宋体" w:eastAsia="宋体"/>
          <w:sz w:val="21"/>
          <w:lang w:val="en-US" w:eastAsia="zh-CN"/>
        </w:rPr>
        <w:t>-服务价值</w:t>
      </w:r>
      <w:bookmarkStart w:id="31" w:name="_GoBack"/>
      <w:bookmarkEnd w:id="31"/>
      <w:r>
        <w:rPr>
          <w:rFonts w:hint="eastAsia" w:ascii="宋体" w:eastAsia="宋体"/>
          <w:sz w:val="21"/>
          <w:lang w:val="en-US" w:eastAsia="zh-CN"/>
        </w:rPr>
        <w:t>台</w:t>
      </w:r>
    </w:p>
    <w:p w14:paraId="2FD75490">
      <w:pPr>
        <w:pStyle w:val="32"/>
        <w:bidi w:val="0"/>
        <w:rPr>
          <w:rFonts w:hint="eastAsia"/>
          <w:lang w:val="en-US" w:eastAsia="zh-CN"/>
        </w:rPr>
      </w:pPr>
      <w:bookmarkStart w:id="23" w:name="_Toc10"/>
      <w:r>
        <w:rPr>
          <w:rFonts w:hint="eastAsia"/>
          <w:lang w:val="en-US" w:eastAsia="zh-CN"/>
        </w:rPr>
        <w:t>软件来源</w:t>
      </w:r>
      <w:bookmarkEnd w:id="23"/>
    </w:p>
    <w:p w14:paraId="276946D3">
      <w:pPr>
        <w:pStyle w:val="30"/>
        <w:rPr>
          <w:rFonts w:hint="default"/>
          <w:lang w:val="en-US" w:eastAsia="zh-CN"/>
        </w:rPr>
      </w:pPr>
      <w:r>
        <w:rPr>
          <w:rFonts w:hint="eastAsia"/>
          <w:lang w:val="en-US" w:eastAsia="zh-CN"/>
        </w:rPr>
        <w:t>自研</w:t>
      </w:r>
    </w:p>
    <w:p w14:paraId="178EB32E">
      <w:pPr>
        <w:pStyle w:val="32"/>
        <w:bidi w:val="0"/>
        <w:rPr>
          <w:rFonts w:hint="eastAsia"/>
          <w:lang w:val="en-US" w:eastAsia="zh-CN"/>
        </w:rPr>
      </w:pPr>
      <w:bookmarkStart w:id="24" w:name="_Toc4178"/>
      <w:r>
        <w:rPr>
          <w:rFonts w:hint="eastAsia"/>
          <w:lang w:val="en-US" w:eastAsia="zh-CN"/>
        </w:rPr>
        <w:t>软件特色</w:t>
      </w:r>
      <w:bookmarkEnd w:id="24"/>
    </w:p>
    <w:p w14:paraId="2C45AFE5">
      <w:pPr>
        <w:pStyle w:val="30"/>
        <w:rPr>
          <w:rFonts w:hint="eastAsia"/>
          <w:lang w:val="en-US" w:eastAsia="zh-CN"/>
        </w:rPr>
      </w:pPr>
      <w:r>
        <w:rPr>
          <w:rFonts w:ascii="宋体" w:hAnsi="Segoe UI" w:eastAsia="宋体" w:cs="Segoe UI"/>
          <w:i w:val="0"/>
          <w:iCs w:val="0"/>
          <w:caps w:val="0"/>
          <w:color w:val="0F1115"/>
          <w:spacing w:val="0"/>
          <w:sz w:val="21"/>
          <w:szCs w:val="19"/>
          <w:shd w:val="clear" w:color="auto" w:fill="FFFFFF"/>
        </w:rPr>
        <w:t>涵盖知识</w:t>
      </w:r>
      <w:r>
        <w:rPr>
          <w:rFonts w:hint="default" w:ascii="宋体" w:hAnsi="Segoe UI" w:eastAsia="宋体" w:cs="Segoe UI"/>
          <w:i w:val="0"/>
          <w:iCs w:val="0"/>
          <w:caps w:val="0"/>
          <w:color w:val="0F1115"/>
          <w:spacing w:val="0"/>
          <w:sz w:val="21"/>
          <w:szCs w:val="19"/>
          <w:shd w:val="clear" w:color="auto" w:fill="FFFFFF"/>
        </w:rPr>
        <w:t>的新增、分类、导入</w:t>
      </w:r>
      <w:r>
        <w:rPr>
          <w:rFonts w:hint="eastAsia" w:ascii="宋体" w:hAnsi="Segoe UI" w:eastAsia="宋体" w:cs="Segoe UI"/>
          <w:i w:val="0"/>
          <w:iCs w:val="0"/>
          <w:caps w:val="0"/>
          <w:color w:val="0F1115"/>
          <w:spacing w:val="0"/>
          <w:sz w:val="21"/>
          <w:szCs w:val="19"/>
          <w:shd w:val="clear" w:color="auto" w:fill="FFFFFF"/>
          <w:lang w:val="en-US" w:eastAsia="zh-CN"/>
        </w:rPr>
        <w:t>三</w:t>
      </w:r>
      <w:r>
        <w:rPr>
          <w:rFonts w:hint="default" w:ascii="宋体" w:hAnsi="Segoe UI" w:eastAsia="宋体" w:cs="Segoe UI"/>
          <w:i w:val="0"/>
          <w:iCs w:val="0"/>
          <w:caps w:val="0"/>
          <w:color w:val="0F1115"/>
          <w:spacing w:val="0"/>
          <w:sz w:val="21"/>
          <w:szCs w:val="19"/>
          <w:shd w:val="clear" w:color="auto" w:fill="FFFFFF"/>
        </w:rPr>
        <w:t>大核心能力</w:t>
      </w:r>
    </w:p>
    <w:p w14:paraId="66F79C9E">
      <w:pPr>
        <w:pStyle w:val="32"/>
        <w:bidi w:val="0"/>
        <w:rPr>
          <w:rFonts w:hint="default"/>
          <w:lang w:val="en-US" w:eastAsia="zh-CN"/>
        </w:rPr>
      </w:pPr>
      <w:bookmarkStart w:id="25" w:name="_Toc17121"/>
      <w:r>
        <w:rPr>
          <w:rFonts w:hint="eastAsia"/>
          <w:lang w:val="en-US" w:eastAsia="zh-CN"/>
        </w:rPr>
        <w:t>功能介绍</w:t>
      </w:r>
      <w:bookmarkEnd w:id="25"/>
    </w:p>
    <w:p w14:paraId="0B29F37C">
      <w:pPr>
        <w:pStyle w:val="30"/>
        <w:rPr>
          <w:rFonts w:hint="eastAsia"/>
          <w:lang w:val="en-US" w:eastAsia="zh-CN"/>
        </w:rPr>
      </w:pPr>
      <w:r>
        <w:rPr>
          <w:rFonts w:hint="eastAsia"/>
          <w:lang w:val="en-US" w:eastAsia="zh-CN"/>
        </w:rPr>
        <w:t>支持服务知识新增、编辑、导出、搜索和列表查看等功能</w:t>
      </w:r>
    </w:p>
    <w:p w14:paraId="6A07632B">
      <w:pPr>
        <w:pStyle w:val="30"/>
      </w:pPr>
      <w:r>
        <w:drawing>
          <wp:inline distT="0" distB="0" distL="114300" distR="114300">
            <wp:extent cx="5269865" cy="2085340"/>
            <wp:effectExtent l="0" t="0" r="3175" b="254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30"/>
                    <a:stretch>
                      <a:fillRect/>
                    </a:stretch>
                  </pic:blipFill>
                  <pic:spPr>
                    <a:xfrm>
                      <a:off x="0" y="0"/>
                      <a:ext cx="5269865" cy="2085340"/>
                    </a:xfrm>
                    <a:prstGeom prst="rect">
                      <a:avLst/>
                    </a:prstGeom>
                    <a:noFill/>
                    <a:ln>
                      <a:noFill/>
                    </a:ln>
                  </pic:spPr>
                </pic:pic>
              </a:graphicData>
            </a:graphic>
          </wp:inline>
        </w:drawing>
      </w:r>
    </w:p>
    <w:p w14:paraId="6532BD63">
      <w:pPr>
        <w:pStyle w:val="30"/>
        <w:rPr>
          <w:rFonts w:hint="eastAsia"/>
          <w:lang w:val="en-US" w:eastAsia="zh-CN"/>
        </w:rPr>
      </w:pPr>
      <w:r>
        <w:rPr>
          <w:rFonts w:hint="eastAsia"/>
          <w:lang w:val="en-US" w:eastAsia="zh-CN"/>
        </w:rPr>
        <w:t>支持对服务知识进行分类，默认为技术知识、运维文档、流程规范、培训资料。同时可对分类进行新增、编辑、删除等。</w:t>
      </w:r>
    </w:p>
    <w:p w14:paraId="291D0FE3">
      <w:pPr>
        <w:pStyle w:val="30"/>
      </w:pPr>
      <w:r>
        <w:drawing>
          <wp:inline distT="0" distB="0" distL="114300" distR="114300">
            <wp:extent cx="5264785" cy="1515745"/>
            <wp:effectExtent l="0" t="0" r="8255" b="825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31"/>
                    <a:stretch>
                      <a:fillRect/>
                    </a:stretch>
                  </pic:blipFill>
                  <pic:spPr>
                    <a:xfrm>
                      <a:off x="0" y="0"/>
                      <a:ext cx="5264785" cy="1515745"/>
                    </a:xfrm>
                    <a:prstGeom prst="rect">
                      <a:avLst/>
                    </a:prstGeom>
                    <a:noFill/>
                    <a:ln>
                      <a:noFill/>
                    </a:ln>
                  </pic:spPr>
                </pic:pic>
              </a:graphicData>
            </a:graphic>
          </wp:inline>
        </w:drawing>
      </w:r>
    </w:p>
    <w:p w14:paraId="051D1D92">
      <w:pPr>
        <w:pStyle w:val="30"/>
        <w:rPr>
          <w:rFonts w:hint="default"/>
          <w:lang w:val="en-US" w:eastAsia="zh-CN"/>
        </w:rPr>
      </w:pPr>
      <w:r>
        <w:rPr>
          <w:rFonts w:hint="eastAsia"/>
          <w:lang w:val="en-US" w:eastAsia="zh-CN"/>
        </w:rPr>
        <w:t>支持xlsx和xls格式的导入。</w:t>
      </w:r>
      <w:r>
        <w:drawing>
          <wp:inline distT="0" distB="0" distL="114300" distR="114300">
            <wp:extent cx="5269865" cy="1809750"/>
            <wp:effectExtent l="0" t="0" r="3175" b="381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32"/>
                    <a:stretch>
                      <a:fillRect/>
                    </a:stretch>
                  </pic:blipFill>
                  <pic:spPr>
                    <a:xfrm>
                      <a:off x="0" y="0"/>
                      <a:ext cx="5269865" cy="1809750"/>
                    </a:xfrm>
                    <a:prstGeom prst="rect">
                      <a:avLst/>
                    </a:prstGeom>
                    <a:noFill/>
                    <a:ln>
                      <a:noFill/>
                    </a:ln>
                  </pic:spPr>
                </pic:pic>
              </a:graphicData>
            </a:graphic>
          </wp:inline>
        </w:drawing>
      </w:r>
    </w:p>
    <w:p w14:paraId="27B577F4">
      <w:pPr>
        <w:pStyle w:val="31"/>
        <w:numPr>
          <w:ilvl w:val="1"/>
          <w:numId w:val="1"/>
        </w:numPr>
        <w:bidi w:val="0"/>
        <w:rPr>
          <w:rFonts w:hint="default"/>
          <w:lang w:val="en-US" w:eastAsia="zh-CN"/>
        </w:rPr>
      </w:pPr>
      <w:bookmarkStart w:id="26" w:name="_Toc21162"/>
      <w:r>
        <w:rPr>
          <w:rFonts w:hint="eastAsia"/>
          <w:lang w:val="en-US" w:eastAsia="zh-CN"/>
        </w:rPr>
        <w:t>运维工具应用情况效果</w:t>
      </w:r>
      <w:bookmarkEnd w:id="26"/>
    </w:p>
    <w:p w14:paraId="3D6948C4">
      <w:pPr>
        <w:pStyle w:val="30"/>
        <w:bidi w:val="0"/>
        <w:rPr>
          <w:rFonts w:hint="default"/>
          <w:lang w:val="en-US" w:eastAsia="zh-CN"/>
        </w:rPr>
      </w:pPr>
      <w:r>
        <w:rPr>
          <w:rFonts w:hint="default"/>
          <w:lang w:val="en-US" w:eastAsia="zh-CN"/>
        </w:rPr>
        <w:t>在公安视频监控运维服务及ITSS体系建设过程中，运维工具与监控体系的集成应用取得了显著成效。</w:t>
      </w:r>
    </w:p>
    <w:p w14:paraId="262BAA9E">
      <w:pPr>
        <w:pStyle w:val="32"/>
        <w:bidi w:val="0"/>
        <w:rPr>
          <w:rFonts w:hint="default"/>
          <w:lang w:val="en-US" w:eastAsia="zh-CN"/>
        </w:rPr>
      </w:pPr>
      <w:bookmarkStart w:id="27" w:name="_Toc30686"/>
      <w:r>
        <w:rPr>
          <w:rFonts w:hint="default"/>
          <w:lang w:val="en-US" w:eastAsia="zh-CN"/>
        </w:rPr>
        <w:t>过程管理工具应用成效</w:t>
      </w:r>
      <w:bookmarkEnd w:id="27"/>
    </w:p>
    <w:p w14:paraId="31F139B4">
      <w:pPr>
        <w:pStyle w:val="30"/>
        <w:bidi w:val="0"/>
        <w:rPr>
          <w:rFonts w:hint="default"/>
          <w:lang w:val="en-US" w:eastAsia="zh-CN"/>
        </w:rPr>
      </w:pPr>
      <w:r>
        <w:rPr>
          <w:rFonts w:hint="default"/>
          <w:lang w:val="en-US" w:eastAsia="zh-CN"/>
        </w:rPr>
        <w:t>通过自研的通服信息化服务平台（工单系统）的部署应用，实现了视频监控运维事件从“申告-受理-派发-处理-办结-评价”的全流程线上化与标准化管理。工单系统覆盖公安视频监控项目的所有前端摄像机、网络传输设备及后端存储平台的故障申报与处理，将视频监控故障的平均修复时间缩短约30%。服务台派单成功率达到90%以上，服务质量和团队绩效实现可量化、可优化。</w:t>
      </w:r>
    </w:p>
    <w:p w14:paraId="4EB8459E">
      <w:pPr>
        <w:pStyle w:val="32"/>
        <w:bidi w:val="0"/>
        <w:rPr>
          <w:rFonts w:hint="default"/>
          <w:lang w:val="en-US" w:eastAsia="zh-CN"/>
        </w:rPr>
      </w:pPr>
      <w:bookmarkStart w:id="28" w:name="_Toc27081"/>
      <w:r>
        <w:rPr>
          <w:rFonts w:hint="default"/>
          <w:lang w:val="en-US" w:eastAsia="zh-CN"/>
        </w:rPr>
        <w:t>监控工具应用成效</w:t>
      </w:r>
      <w:bookmarkEnd w:id="28"/>
    </w:p>
    <w:p w14:paraId="1AE0D197">
      <w:pPr>
        <w:pStyle w:val="30"/>
        <w:bidi w:val="0"/>
        <w:rPr>
          <w:rFonts w:hint="default"/>
          <w:lang w:val="en-US" w:eastAsia="zh-CN"/>
        </w:rPr>
      </w:pPr>
      <w:r>
        <w:rPr>
          <w:rFonts w:hint="default"/>
          <w:lang w:val="en-US" w:eastAsia="zh-CN"/>
        </w:rPr>
        <w:t>依托外购的智瞰哨兵管理平台，实现了对公安视频监控项目数千路摄像机的在线状态、录像存储完整性、网络链路健康及平台服务状态的实时监测与主动预警。平台打通了从机房设备到客户业务体验的完整数据链条，支持设备监控、链路监控、环境动力监控及中间件性能监控等多维度管控。通过预埋备用纤芯、热备节点自动切换等技术手段，结合平台的智能告警机制，大幅提前了潜在故障的平均发现时间。2025年度服务可用率达到100%，有力保障了公安视频监控核心业务系统的高可用性。</w:t>
      </w:r>
    </w:p>
    <w:p w14:paraId="114A7014">
      <w:pPr>
        <w:pStyle w:val="32"/>
        <w:bidi w:val="0"/>
        <w:rPr>
          <w:rFonts w:hint="default"/>
          <w:lang w:val="en-US" w:eastAsia="zh-CN"/>
        </w:rPr>
      </w:pPr>
      <w:bookmarkStart w:id="29" w:name="_Toc4582"/>
      <w:r>
        <w:rPr>
          <w:rFonts w:hint="default"/>
          <w:lang w:val="en-US" w:eastAsia="zh-CN"/>
        </w:rPr>
        <w:t>服务知识工具应用成效</w:t>
      </w:r>
      <w:bookmarkEnd w:id="29"/>
    </w:p>
    <w:p w14:paraId="1D2B807F">
      <w:pPr>
        <w:pStyle w:val="30"/>
        <w:bidi w:val="0"/>
        <w:rPr>
          <w:rFonts w:hint="default"/>
          <w:lang w:val="en-US" w:eastAsia="zh-CN"/>
        </w:rPr>
      </w:pPr>
      <w:r>
        <w:rPr>
          <w:rFonts w:hint="default"/>
          <w:lang w:val="en-US" w:eastAsia="zh-CN"/>
        </w:rPr>
        <w:t>依托自研的华数-服务价值台（服务知识模块），建立了结构化的运维知识库体系，涵盖技术知识、运维文档、流程规范、培训资料等分类。支持知识条目的新增、编辑、分类、搜索及Excel批量导入，将一线运维人员的故障处理经验、典型问题解决方案及应急预案系统化沉淀为可复用的组织知识资产。知识库与工单系统联动，在事件处理过程中为工程师提供即时知识支撑，提升了问题解决的准确性与效率。</w:t>
      </w:r>
    </w:p>
    <w:p w14:paraId="728CFE7F">
      <w:pPr>
        <w:pStyle w:val="32"/>
        <w:bidi w:val="0"/>
        <w:rPr>
          <w:rFonts w:hint="default"/>
          <w:lang w:val="en-US" w:eastAsia="zh-CN"/>
        </w:rPr>
      </w:pPr>
      <w:bookmarkStart w:id="30" w:name="_Toc30884"/>
      <w:r>
        <w:rPr>
          <w:rFonts w:hint="default"/>
          <w:lang w:val="en-US" w:eastAsia="zh-CN"/>
        </w:rPr>
        <w:t>整体成效</w:t>
      </w:r>
      <w:bookmarkEnd w:id="30"/>
    </w:p>
    <w:p w14:paraId="171A83AB">
      <w:pPr>
        <w:pStyle w:val="30"/>
        <w:bidi w:val="0"/>
        <w:rPr>
          <w:rFonts w:hint="default"/>
          <w:lang w:val="en-US" w:eastAsia="zh-CN"/>
        </w:rPr>
      </w:pPr>
      <w:r>
        <w:rPr>
          <w:rFonts w:hint="default"/>
          <w:lang w:val="en-US" w:eastAsia="zh-CN"/>
        </w:rPr>
        <w:t>整体上，运维工具的深度应用不仅提升了公安视频监控运维的响应效率与故障处置能力，更推动了运维模式从被动抢修向主动预防、精准管控的智能化运营转型。结合ITSS三级体系建设，初步构建了“监、管、控、析”一体化的可持续运维体系，为公司运维服务能力的持续提升奠定了坚实的技术基础。</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E1110">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5267A2"/>
    <w:rsid w:val="04D9503A"/>
    <w:rsid w:val="06996F25"/>
    <w:rsid w:val="100030EB"/>
    <w:rsid w:val="10505F32"/>
    <w:rsid w:val="12D15108"/>
    <w:rsid w:val="15152C6A"/>
    <w:rsid w:val="15DF6CC2"/>
    <w:rsid w:val="16490BF4"/>
    <w:rsid w:val="1BB67591"/>
    <w:rsid w:val="1D0D1432"/>
    <w:rsid w:val="1D491D3F"/>
    <w:rsid w:val="1E5B1377"/>
    <w:rsid w:val="29763C61"/>
    <w:rsid w:val="2AE746DD"/>
    <w:rsid w:val="2F8A7D2E"/>
    <w:rsid w:val="2FF56CFE"/>
    <w:rsid w:val="30E038CF"/>
    <w:rsid w:val="33EE0FDC"/>
    <w:rsid w:val="36AC3590"/>
    <w:rsid w:val="38863E83"/>
    <w:rsid w:val="3B787B31"/>
    <w:rsid w:val="400B2E0B"/>
    <w:rsid w:val="408D6263"/>
    <w:rsid w:val="40E5601A"/>
    <w:rsid w:val="41E8261C"/>
    <w:rsid w:val="4205731E"/>
    <w:rsid w:val="46BC33FE"/>
    <w:rsid w:val="4C9557AE"/>
    <w:rsid w:val="4D636575"/>
    <w:rsid w:val="4D7E4702"/>
    <w:rsid w:val="4DC5090D"/>
    <w:rsid w:val="4EC2494C"/>
    <w:rsid w:val="4ED35765"/>
    <w:rsid w:val="50897019"/>
    <w:rsid w:val="543602A8"/>
    <w:rsid w:val="56FD5188"/>
    <w:rsid w:val="62013F63"/>
    <w:rsid w:val="684400AB"/>
    <w:rsid w:val="6C5549B4"/>
    <w:rsid w:val="6D0E34C1"/>
    <w:rsid w:val="6EAF6AB3"/>
    <w:rsid w:val="6F3F0FBC"/>
    <w:rsid w:val="7150636D"/>
    <w:rsid w:val="72110989"/>
    <w:rsid w:val="77A92327"/>
    <w:rsid w:val="7A08012D"/>
    <w:rsid w:val="7BAC448F"/>
    <w:rsid w:val="7ED4550E"/>
    <w:rsid w:val="7F967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2560</Words>
  <Characters>2792</Characters>
  <Lines>0</Lines>
  <Paragraphs>0</Paragraphs>
  <TotalTime>0</TotalTime>
  <ScaleCrop>false</ScaleCrop>
  <LinksUpToDate>false</LinksUpToDate>
  <CharactersWithSpaces>2951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2026-04-24T18:52:53Z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