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AF991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22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51A572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828"/>
      <w:r>
        <w:rPr>
          <w:rFonts w:hint="eastAsia"/>
          <w:lang w:val="en-US" w:eastAsia="zh-CN"/>
        </w:rPr>
        <w:t>服务台应用情况说明</w:t>
      </w:r>
      <w:bookmarkEnd w:id="1"/>
    </w:p>
    <w:p w14:paraId="47005D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BF36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D39AC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67BF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74742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282E4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C026C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5" w:name="_GoBack"/>
            <w:bookmarkEnd w:id="2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37D8BC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B54EF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D8C3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7BEC1EE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498CB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B7D32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BD424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4662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8AF42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84695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7B920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7AA2A9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FCD7F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2EF25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2411E9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438CA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39BE66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6B842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茅建根</w:t>
            </w:r>
          </w:p>
        </w:tc>
        <w:tc>
          <w:tcPr>
            <w:tcW w:w="915" w:type="dxa"/>
          </w:tcPr>
          <w:p w14:paraId="155FA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B41C8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64EAE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7D29F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D41C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79D1B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638DD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F06ED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63F0B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2C281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0F368B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327B4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1A8A1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8A69F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9156C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AE89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9902C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2A0EE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66D84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6D011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21477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307C5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6A798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729E7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5E52C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_Toc6222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B5E2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_Toc6828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E97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_Toc13006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31D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服务台运行机制与实施情况</w:t>
          </w:r>
          <w:r>
            <w:tab/>
          </w:r>
          <w:r>
            <w:fldChar w:fldCharType="begin"/>
          </w:r>
          <w:r>
            <w:instrText xml:space="preserve"> PAGEREF _Toc31910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84A5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制度落实与体系建设</w:t>
          </w:r>
          <w:r>
            <w:tab/>
          </w:r>
          <w:r>
            <w:fldChar w:fldCharType="begin"/>
          </w:r>
          <w:r>
            <w:instrText xml:space="preserve"> PAGEREF _Toc22675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D7DB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流程执行与日常运营</w:t>
          </w:r>
          <w:r>
            <w:tab/>
          </w:r>
          <w:r>
            <w:fldChar w:fldCharType="begin"/>
          </w:r>
          <w:r>
            <w:instrText xml:space="preserve"> PAGEREF _Toc2014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6E158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统一接入与智能分配</w:t>
          </w:r>
          <w:r>
            <w:tab/>
          </w:r>
          <w:r>
            <w:fldChar w:fldCharType="begin"/>
          </w:r>
          <w:r>
            <w:instrText xml:space="preserve"> PAGEREF _Toc8825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ADB35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标准化作业与即时响应</w:t>
          </w:r>
          <w:r>
            <w:tab/>
          </w:r>
          <w:r>
            <w:fldChar w:fldCharType="begin"/>
          </w:r>
          <w:r>
            <w:instrText xml:space="preserve"> PAGEREF _Toc17439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4DDBF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分级处理与主动跟踪</w:t>
          </w:r>
          <w:r>
            <w:tab/>
          </w:r>
          <w:r>
            <w:fldChar w:fldCharType="begin"/>
          </w:r>
          <w:r>
            <w:instrText xml:space="preserve"> PAGEREF _Toc2557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A37F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闭环验证与用户回访</w:t>
          </w:r>
          <w:r>
            <w:tab/>
          </w:r>
          <w:r>
            <w:fldChar w:fldCharType="begin"/>
          </w:r>
          <w:r>
            <w:instrText xml:space="preserve"> PAGEREF _Toc31337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872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质量监控、数据分析与绩效评估</w:t>
          </w:r>
          <w:r>
            <w:tab/>
          </w:r>
          <w:r>
            <w:fldChar w:fldCharType="begin"/>
          </w:r>
          <w:r>
            <w:instrText xml:space="preserve"> PAGEREF _Toc23489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A1DA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2.3.1. 核心指标持续监测</w:t>
          </w:r>
          <w:r>
            <w:tab/>
          </w:r>
          <w:r>
            <w:fldChar w:fldCharType="begin"/>
          </w:r>
          <w:r>
            <w:instrText xml:space="preserve"> PAGEREF _Toc30162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5EC35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2.3.2. 数据驱动的定期复盘</w:t>
          </w:r>
          <w:r>
            <w:tab/>
          </w:r>
          <w:r>
            <w:fldChar w:fldCharType="begin"/>
          </w:r>
          <w:r>
            <w:instrText xml:space="preserve"> PAGEREF _Toc11138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E162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持续改进与能力建设</w:t>
          </w:r>
          <w:r>
            <w:tab/>
          </w:r>
          <w:r>
            <w:fldChar w:fldCharType="begin"/>
          </w:r>
          <w:r>
            <w:instrText xml:space="preserve"> PAGEREF _Toc1083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204A3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流程迭代优化</w:t>
          </w:r>
          <w:r>
            <w:tab/>
          </w:r>
          <w:r>
            <w:fldChar w:fldCharType="begin"/>
          </w:r>
          <w:r>
            <w:instrText xml:space="preserve"> PAGEREF _Toc15462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3A18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知识管理与赋能</w:t>
          </w:r>
          <w:r>
            <w:tab/>
          </w:r>
          <w:r>
            <w:fldChar w:fldCharType="begin"/>
          </w:r>
          <w:r>
            <w:instrText xml:space="preserve"> PAGEREF _Toc32206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A706F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系统工具优化</w:t>
          </w:r>
          <w:r>
            <w:tab/>
          </w:r>
          <w:r>
            <w:fldChar w:fldCharType="begin"/>
          </w:r>
          <w:r>
            <w:instrText xml:space="preserve"> PAGEREF _Toc10507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8687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考核指标达成情况</w:t>
          </w:r>
          <w:r>
            <w:tab/>
          </w:r>
          <w:r>
            <w:fldChar w:fldCharType="begin"/>
          </w:r>
          <w:r>
            <w:instrText xml:space="preserve"> PAGEREF _Toc4456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037F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近三年应用情况</w:t>
          </w:r>
          <w:r>
            <w:tab/>
          </w:r>
          <w:r>
            <w:fldChar w:fldCharType="begin"/>
          </w:r>
          <w:r>
            <w:instrText xml:space="preserve"> PAGEREF _Toc12481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B826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近三年指标完成情况</w:t>
          </w:r>
          <w:r>
            <w:tab/>
          </w:r>
          <w:r>
            <w:fldChar w:fldCharType="begin"/>
          </w:r>
          <w:r>
            <w:instrText xml:space="preserve"> PAGEREF _Toc17755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00E3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年度改进重点与成效</w:t>
          </w:r>
          <w:r>
            <w:tab/>
          </w:r>
          <w:r>
            <w:fldChar w:fldCharType="begin"/>
          </w:r>
          <w:r>
            <w:instrText xml:space="preserve"> PAGEREF _Toc31692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D4B56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2023年（基础规范期）</w:t>
          </w:r>
          <w:r>
            <w:tab/>
          </w:r>
          <w:r>
            <w:fldChar w:fldCharType="begin"/>
          </w:r>
          <w:r>
            <w:instrText xml:space="preserve"> PAGEREF _Toc22314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7B6F7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2024年（质量提升期）</w:t>
          </w:r>
          <w:r>
            <w:tab/>
          </w:r>
          <w:r>
            <w:fldChar w:fldCharType="begin"/>
          </w:r>
          <w:r>
            <w:instrText xml:space="preserve"> PAGEREF _Toc30386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24FE4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4.2.3. 2025年（成熟优化期）</w:t>
          </w:r>
          <w:r>
            <w:tab/>
          </w:r>
          <w:r>
            <w:fldChar w:fldCharType="begin"/>
          </w:r>
          <w:r>
            <w:instrText xml:space="preserve"> PAGEREF _Toc14886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0083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结论与展望</w:t>
          </w:r>
          <w:r>
            <w:tab/>
          </w:r>
          <w:r>
            <w:fldChar w:fldCharType="begin"/>
          </w:r>
          <w:r>
            <w:instrText xml:space="preserve"> PAGEREF _Toc9425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A1A8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0F9479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641140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3006"/>
      <w:r>
        <w:rPr>
          <w:rFonts w:hint="default"/>
          <w:lang w:val="en-US" w:eastAsia="zh-CN"/>
        </w:rPr>
        <w:t>概述</w:t>
      </w:r>
      <w:bookmarkEnd w:id="2"/>
    </w:p>
    <w:p w14:paraId="33CAF2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落实《服务台管理制度》，规范服务台工作流程，提升事件响应与处理效率，服务台自制度发布以来，已全面推行标准化、流程化管理。本说明旨在总结服务台的实际应用情况，结合PDCA循环管理模式，持续优化服务支持体系。</w:t>
      </w:r>
    </w:p>
    <w:p w14:paraId="2214E04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1910"/>
      <w:r>
        <w:rPr>
          <w:rFonts w:hint="default"/>
          <w:lang w:val="en-US" w:eastAsia="zh-CN"/>
        </w:rPr>
        <w:t>服务台运行机制与实施情况</w:t>
      </w:r>
      <w:bookmarkEnd w:id="3"/>
    </w:p>
    <w:p w14:paraId="3CC4B5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2675"/>
      <w:r>
        <w:rPr>
          <w:rFonts w:hint="default"/>
          <w:lang w:val="en-US" w:eastAsia="zh-CN"/>
        </w:rPr>
        <w:t>制度落实与体系建设</w:t>
      </w:r>
      <w:bookmarkEnd w:id="4"/>
    </w:p>
    <w:p w14:paraId="731113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制度标准化落地：以《服务台管理制度》为根本遵循，已完成服务台全部岗位的操作规程（SOP）细化，确保每一环节的处理动作均有据可依、有章可循。</w:t>
      </w:r>
    </w:p>
    <w:p w14:paraId="1B7B76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职责矩阵清晰化：不仅明确了运维部经理与服务台专员的纵向管理与执行关系，更横向厘清了服务台与二线、三线技术支持团队间的职责边界与协作接口，建立了“首问负责、分级处置、协同闭环”的责任体系。</w:t>
      </w:r>
    </w:p>
    <w:p w14:paraId="7A502E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全流程闭环设计：构建了从“接入记录→分类诊断→派发处理→跟踪协调→回访关闭”的完整工单生命周期管理流程，并配套了相应的超时预警与升级规则，确保所有事件与服务请求均在受控流程内运转。</w:t>
      </w:r>
    </w:p>
    <w:p w14:paraId="076015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014"/>
      <w:r>
        <w:rPr>
          <w:rFonts w:hint="default"/>
          <w:lang w:val="en-US" w:eastAsia="zh-CN"/>
        </w:rPr>
        <w:t>流程执行与日常运营</w:t>
      </w:r>
      <w:bookmarkEnd w:id="5"/>
    </w:p>
    <w:p w14:paraId="5F96B8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8825"/>
      <w:r>
        <w:rPr>
          <w:rFonts w:hint="default"/>
          <w:lang w:val="en-US" w:eastAsia="zh-CN"/>
        </w:rPr>
        <w:t>统一接入与智能分配</w:t>
      </w:r>
      <w:bookmarkEnd w:id="6"/>
    </w:p>
    <w:p w14:paraId="4529FB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通过服务热线、专属邮箱及工单系统三大渠道集中受理用户请求。系统可根据预设规则对工单进行自动标签化分类与初步路由，提升分配效率。</w:t>
      </w:r>
    </w:p>
    <w:p w14:paraId="6E406B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439"/>
      <w:r>
        <w:rPr>
          <w:rFonts w:hint="default"/>
          <w:lang w:val="en-US" w:eastAsia="zh-CN"/>
        </w:rPr>
        <w:t>标准化作业与即时响应</w:t>
      </w:r>
      <w:bookmarkEnd w:id="7"/>
    </w:p>
    <w:p w14:paraId="1FE09D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记录模板化：工单系统内置标准化信息采集模板，强制要求录入用户信息、问题详述、影响范围、紧急/影响程度等关键字段，为后续分析与处理奠定数据基础。</w:t>
      </w:r>
    </w:p>
    <w:p w14:paraId="46F4C5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响应制度化：严格执行“受理后15分钟内响应”的服务承诺，首次响应不仅限于系统确认，更包含通过电话或即时消息与用户进行初步沟通，安抚情绪并确认问题细节。</w:t>
      </w:r>
    </w:p>
    <w:p w14:paraId="34A7C83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557"/>
      <w:r>
        <w:rPr>
          <w:rFonts w:hint="default"/>
          <w:lang w:val="en-US" w:eastAsia="zh-CN"/>
        </w:rPr>
        <w:t>分级处理与主动跟踪</w:t>
      </w:r>
      <w:bookmarkEnd w:id="8"/>
    </w:p>
    <w:p w14:paraId="1BB62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服务台专员利用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对常见问题进行一线解决。对于复杂技术问题，依据分类结果精准派发至相应技术支持团队，并明确约定初步响应与解决时限。</w:t>
      </w:r>
    </w:p>
    <w:p w14:paraId="513A3C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服务台设立专职跟单岗位，对流转中的工单进行全程可视化跟踪。通过系统提醒与人工主动询问相结合的方式，协调处理资源，对临期或超时工单启动升级通知机制。</w:t>
      </w:r>
    </w:p>
    <w:p w14:paraId="3471D67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1337"/>
      <w:r>
        <w:rPr>
          <w:rFonts w:hint="default"/>
          <w:lang w:val="en-US" w:eastAsia="zh-CN"/>
        </w:rPr>
        <w:t>闭环验证与用户回访</w:t>
      </w:r>
      <w:bookmarkEnd w:id="9"/>
    </w:p>
    <w:p w14:paraId="6B7A53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问题经技术支持团队解决后，必须由服务台在24小时内对用户进行百分百回访。</w:t>
      </w:r>
    </w:p>
    <w:p w14:paraId="02775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回访内容结构化，重点确认问题是否彻底解决、服务过程是否满意。对于“未解决”或“不满意”的反馈，工单将不予关闭，并自动触发“重新处理”或“管理升级”流程。</w:t>
      </w:r>
    </w:p>
    <w:p w14:paraId="6D29AE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3489"/>
      <w:r>
        <w:rPr>
          <w:rFonts w:hint="default"/>
          <w:lang w:val="en-US" w:eastAsia="zh-CN"/>
        </w:rPr>
        <w:t>质量监控、数据分析与绩效评估</w:t>
      </w:r>
      <w:bookmarkEnd w:id="10"/>
    </w:p>
    <w:p w14:paraId="3492363B">
      <w:pPr>
        <w:pStyle w:val="31"/>
        <w:bidi w:val="0"/>
        <w:rPr>
          <w:rFonts w:hint="default"/>
          <w:lang w:val="en-US" w:eastAsia="zh-CN"/>
        </w:rPr>
      </w:pPr>
      <w:bookmarkStart w:id="11" w:name="_Toc30162"/>
      <w:r>
        <w:rPr>
          <w:rFonts w:hint="default"/>
          <w:lang w:val="en-US" w:eastAsia="zh-CN"/>
        </w:rPr>
        <w:t>核心指标持续监测</w:t>
      </w:r>
      <w:bookmarkEnd w:id="11"/>
    </w:p>
    <w:p w14:paraId="0735C7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派单成功率：作为核心KPI，按季度进行严格考核。通过分析退回工单的原因（如派错对象、描述不清、权限不符等），反向推动分类准确性与派单规范的改进。</w:t>
      </w:r>
    </w:p>
    <w:p w14:paraId="5E1963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辅助指标体系：同步监控“一线解决率”、“平均首次响应时间”、“平均解决时间”、“用户满意度”等过程性与结果性指标，形成对服务台工作质量的多维度评价。</w:t>
      </w:r>
    </w:p>
    <w:p w14:paraId="565AD206">
      <w:pPr>
        <w:pStyle w:val="31"/>
        <w:bidi w:val="0"/>
        <w:rPr>
          <w:rFonts w:hint="default"/>
          <w:lang w:val="en-US" w:eastAsia="zh-CN"/>
        </w:rPr>
      </w:pPr>
      <w:bookmarkStart w:id="12" w:name="_Toc11138"/>
      <w:r>
        <w:rPr>
          <w:rFonts w:hint="default"/>
          <w:lang w:val="en-US" w:eastAsia="zh-CN"/>
        </w:rPr>
        <w:t>数据驱动的定期复盘</w:t>
      </w:r>
      <w:bookmarkEnd w:id="12"/>
    </w:p>
    <w:p w14:paraId="24126E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每月、每季度对工单数据进行深度分析，生成服务报告。报告内容涵盖事件类型分布、高频问题、处理时效趋势、各支持团队负荷与效能等，为管理决策提供数据支持。</w:t>
      </w:r>
    </w:p>
    <w:p w14:paraId="347327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建立基于数据的“问题溯源”机制，对反复出现的同类事件或处理瓶颈，推动启动根源性解决方案或流程优化项目。</w:t>
      </w:r>
    </w:p>
    <w:p w14:paraId="422FE8C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083"/>
      <w:r>
        <w:rPr>
          <w:rFonts w:hint="default"/>
          <w:lang w:val="en-US" w:eastAsia="zh-CN"/>
        </w:rPr>
        <w:t>持续改进与能力建设</w:t>
      </w:r>
      <w:bookmarkEnd w:id="13"/>
    </w:p>
    <w:p w14:paraId="74C6FA83">
      <w:pPr>
        <w:pStyle w:val="31"/>
        <w:bidi w:val="0"/>
        <w:rPr>
          <w:rFonts w:hint="default"/>
          <w:lang w:val="en-US" w:eastAsia="zh-CN"/>
        </w:rPr>
      </w:pPr>
      <w:bookmarkStart w:id="14" w:name="_Toc15462"/>
      <w:r>
        <w:rPr>
          <w:rFonts w:hint="default"/>
          <w:lang w:val="en-US" w:eastAsia="zh-CN"/>
        </w:rPr>
        <w:t>流程迭代优化</w:t>
      </w:r>
      <w:bookmarkEnd w:id="14"/>
    </w:p>
    <w:p w14:paraId="4FDA4F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每季度根据指标达成情况、用户反馈及复盘发现的问题，对服务台管理制度及相关流程进行评审和修订。例如，优化了重大事件升级路径，补充了特定场景下的快速处理通道。</w:t>
      </w:r>
    </w:p>
    <w:p w14:paraId="6EA987AD">
      <w:pPr>
        <w:pStyle w:val="31"/>
        <w:bidi w:val="0"/>
        <w:rPr>
          <w:rFonts w:hint="default"/>
          <w:lang w:val="en-US" w:eastAsia="zh-CN"/>
        </w:rPr>
      </w:pPr>
      <w:bookmarkStart w:id="15" w:name="_Toc32206"/>
      <w:r>
        <w:rPr>
          <w:rFonts w:hint="default"/>
          <w:lang w:val="en-US" w:eastAsia="zh-CN"/>
        </w:rPr>
        <w:t>知识管理与赋能</w:t>
      </w:r>
      <w:bookmarkEnd w:id="15"/>
    </w:p>
    <w:p w14:paraId="524BEB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系统化地将在处理过程中形成的解决方案沉淀至共享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，并定期组织服务台专员进行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更新学习与案例研讨培训，持续提升一线人员的自主解决能力与专业水平。</w:t>
      </w:r>
    </w:p>
    <w:p w14:paraId="0E768FEF">
      <w:pPr>
        <w:pStyle w:val="31"/>
        <w:bidi w:val="0"/>
        <w:rPr>
          <w:rFonts w:hint="default"/>
          <w:lang w:val="en-US" w:eastAsia="zh-CN"/>
        </w:rPr>
      </w:pPr>
      <w:bookmarkStart w:id="16" w:name="_Toc10507"/>
      <w:r>
        <w:rPr>
          <w:rFonts w:hint="default"/>
          <w:lang w:val="en-US" w:eastAsia="zh-CN"/>
        </w:rPr>
        <w:t>系统工具优化</w:t>
      </w:r>
      <w:bookmarkEnd w:id="16"/>
    </w:p>
    <w:p w14:paraId="32C033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与IT部门紧密协作，基于一线使用反馈，持续对工单系统提出优化需求，如开发移动端处理功能、增强报表自定义能力、集成即时通讯工具等，以技术手段提升运营效率与服务体验。</w:t>
      </w:r>
    </w:p>
    <w:p w14:paraId="6850D272">
      <w:pPr>
        <w:pStyle w:val="28"/>
        <w:bidi w:val="0"/>
        <w:rPr>
          <w:rFonts w:hint="eastAsia"/>
          <w:lang w:val="en-US" w:eastAsia="zh-CN"/>
        </w:rPr>
      </w:pPr>
      <w:bookmarkStart w:id="17" w:name="_Toc4456"/>
      <w:r>
        <w:rPr>
          <w:rFonts w:hint="eastAsia"/>
          <w:lang w:val="en-US" w:eastAsia="zh-CN"/>
        </w:rPr>
        <w:t>考核指标达成情况</w:t>
      </w:r>
      <w:bookmarkEnd w:id="17"/>
    </w:p>
    <w:p w14:paraId="47CFDF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6530" cy="2988310"/>
            <wp:effectExtent l="5080" t="4445" r="11430" b="9525"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C54CEA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服务台考核指标为季度服务台派单成功率，计算方式为：【1-（退回的派单/派单总数）】*100%。目标值≥90%。</w:t>
      </w:r>
    </w:p>
    <w:p w14:paraId="78ECF3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在“季度派单成功率≥90%”的考核要求下，服务台工作质量稳步提升。截至2025年1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月，各季度实际完成情况为：第一季度达成90%（基准线），第二季度增长至92%，第三季度进一步提升至95%</w:t>
      </w:r>
      <w:r>
        <w:rPr>
          <w:rFonts w:hint="eastAsia"/>
          <w:lang w:val="en-US" w:eastAsia="zh-CN"/>
        </w:rPr>
        <w:t>，第四季度提升到100%</w:t>
      </w:r>
      <w:r>
        <w:rPr>
          <w:rFonts w:hint="default"/>
          <w:lang w:val="en-US" w:eastAsia="zh-CN"/>
        </w:rPr>
        <w:t>。这一连续的上升曲线，直观反映了服务台在工单分类、路径指派及团队协同方面不断改进的成效。</w:t>
      </w:r>
    </w:p>
    <w:p w14:paraId="6883DDB6">
      <w:pPr>
        <w:pStyle w:val="28"/>
        <w:bidi w:val="0"/>
        <w:rPr>
          <w:rFonts w:hint="default"/>
          <w:lang w:val="en-US" w:eastAsia="zh-CN"/>
        </w:rPr>
      </w:pPr>
      <w:bookmarkStart w:id="18" w:name="_Toc12481"/>
      <w:r>
        <w:rPr>
          <w:rFonts w:hint="eastAsia"/>
          <w:lang w:val="en-US" w:eastAsia="zh-CN"/>
        </w:rPr>
        <w:t>近三年应用情况</w:t>
      </w:r>
      <w:bookmarkEnd w:id="18"/>
    </w:p>
    <w:p w14:paraId="10D76231">
      <w:pPr>
        <w:pStyle w:val="30"/>
        <w:bidi w:val="0"/>
        <w:rPr>
          <w:rFonts w:hint="default"/>
          <w:lang w:val="en-US" w:eastAsia="zh-CN"/>
        </w:rPr>
      </w:pPr>
      <w:bookmarkStart w:id="19" w:name="_Toc17755"/>
      <w:r>
        <w:rPr>
          <w:rFonts w:hint="eastAsia"/>
          <w:lang w:val="en-US" w:eastAsia="zh-CN"/>
        </w:rPr>
        <w:t>近三年指标完成情况</w:t>
      </w:r>
      <w:bookmarkEnd w:id="19"/>
    </w:p>
    <w:p w14:paraId="6209A5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过去三年，我司服务台严格执行《服务台管理制度》（文件编号：TXHS-08-02），以“服务台派单成功率”为核心指标，持续优化事件与服务请求的处理流程。近三年的派单成功率数据如下：</w:t>
      </w:r>
    </w:p>
    <w:p w14:paraId="3B3BD4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第一年（2023年）：90%</w:t>
      </w:r>
    </w:p>
    <w:p w14:paraId="7FCAE78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达到制度设定的目标值（≥90%）。该年度服务台基本实现规范化派单，退回工单控制在合理范围内，为后续改进奠定了数据基础。</w:t>
      </w:r>
    </w:p>
    <w:p w14:paraId="7CD4F2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第二年（2024年）：92%</w:t>
      </w:r>
    </w:p>
    <w:p w14:paraId="174B280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较上年提升2个百分点。通过加强退回工单分析、定期抽样检查及与二线团队的分类标准对齐，派单准确性得到有效改善。</w:t>
      </w:r>
    </w:p>
    <w:p w14:paraId="07C37CA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第三年（2025年）：94%</w:t>
      </w:r>
    </w:p>
    <w:p w14:paraId="06190A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进一步提升至94%。得益于服务知识库的持续完善、季度质量会议的常态化开展以及个人改进计划的落实，派单成功率稳步增长，用户满意度同步提升。</w:t>
      </w:r>
    </w:p>
    <w:p w14:paraId="1408A5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综上，近三年服务台派单成功率持续向好，制度中设定的监督与考评机制有效支撑了服务质量的改进。</w:t>
      </w:r>
    </w:p>
    <w:p w14:paraId="6B33F1C7">
      <w:pPr>
        <w:pStyle w:val="30"/>
        <w:bidi w:val="0"/>
        <w:rPr>
          <w:rFonts w:hint="default"/>
          <w:lang w:val="en-US" w:eastAsia="zh-CN"/>
        </w:rPr>
      </w:pPr>
      <w:bookmarkStart w:id="20" w:name="_Toc31692"/>
      <w:r>
        <w:rPr>
          <w:rFonts w:hint="eastAsia"/>
          <w:lang w:val="en-US" w:eastAsia="zh-CN"/>
        </w:rPr>
        <w:t>年度改进重点与成效</w:t>
      </w:r>
      <w:bookmarkEnd w:id="20"/>
    </w:p>
    <w:p w14:paraId="063FB097">
      <w:pPr>
        <w:pStyle w:val="31"/>
        <w:bidi w:val="0"/>
        <w:rPr>
          <w:rFonts w:hint="default"/>
          <w:lang w:val="en-US" w:eastAsia="zh-CN"/>
        </w:rPr>
      </w:pPr>
      <w:bookmarkStart w:id="21" w:name="_Toc22314"/>
      <w:r>
        <w:rPr>
          <w:rFonts w:hint="default"/>
          <w:lang w:val="en-US" w:eastAsia="zh-CN"/>
        </w:rPr>
        <w:t>2023年（基础规范期）</w:t>
      </w:r>
      <w:bookmarkEnd w:id="21"/>
    </w:p>
    <w:p w14:paraId="4A6B4DE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完成服务台制度规范化建设，明确岗位职责与操作流程</w:t>
      </w:r>
    </w:p>
    <w:p w14:paraId="01E76D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首次建立“受理后15分钟内响应”的服务承诺机制</w:t>
      </w:r>
    </w:p>
    <w:p w14:paraId="2055A5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实现工单系统全流程线上化管理，派单成功率首次达到90%目标值</w:t>
      </w:r>
    </w:p>
    <w:p w14:paraId="1D83D7E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全年累计处理工单稳步增长，退回工单主要集中在分类标准不统一、描述不规范等问题上</w:t>
      </w:r>
    </w:p>
    <w:p w14:paraId="3546B31A">
      <w:pPr>
        <w:pStyle w:val="31"/>
        <w:bidi w:val="0"/>
        <w:rPr>
          <w:rFonts w:hint="default"/>
          <w:lang w:val="en-US" w:eastAsia="zh-CN"/>
        </w:rPr>
      </w:pPr>
      <w:bookmarkStart w:id="22" w:name="_Toc30386"/>
      <w:r>
        <w:rPr>
          <w:rFonts w:hint="default"/>
          <w:lang w:val="en-US" w:eastAsia="zh-CN"/>
        </w:rPr>
        <w:t>2024年（质量提升期）</w:t>
      </w:r>
      <w:bookmarkEnd w:id="22"/>
    </w:p>
    <w:p w14:paraId="34C3AE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重点加强退回工单分析与专项整改，运维部经理逐单审核退回原因</w:t>
      </w:r>
    </w:p>
    <w:p w14:paraId="48F118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每月开展抽样检查，评估问题描述清晰度与分类准确性</w:t>
      </w:r>
    </w:p>
    <w:p w14:paraId="3C0235B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与二线技术支持团队定期开展分类标准对齐会，减少理解偏差</w:t>
      </w:r>
    </w:p>
    <w:p w14:paraId="122AF5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派单成功率提升至92%，退回率明显下降，一线与二线协作效率改善</w:t>
      </w:r>
    </w:p>
    <w:p w14:paraId="573628E8">
      <w:pPr>
        <w:pStyle w:val="31"/>
        <w:bidi w:val="0"/>
        <w:rPr>
          <w:rFonts w:hint="default"/>
          <w:lang w:val="en-US" w:eastAsia="zh-CN"/>
        </w:rPr>
      </w:pPr>
      <w:bookmarkStart w:id="23" w:name="_Toc14886"/>
      <w:r>
        <w:rPr>
          <w:rFonts w:hint="default"/>
          <w:lang w:val="en-US" w:eastAsia="zh-CN"/>
        </w:rPr>
        <w:t>2025年（成熟优化期）</w:t>
      </w:r>
      <w:bookmarkEnd w:id="23"/>
    </w:p>
    <w:p w14:paraId="499DE3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服务知识库持续完善，常见问题分类准确率大幅提升</w:t>
      </w:r>
    </w:p>
    <w:p w14:paraId="45B5E9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季度质量会议常态化，公开分析退单数据与典型案例</w:t>
      </w:r>
    </w:p>
    <w:p w14:paraId="5636BAF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针对高频退单原因，为专员制定个人改进计划并跟踪落实</w:t>
      </w:r>
    </w:p>
    <w:p w14:paraId="7B5146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派单成功率进一步提升至94%，用户满意度同步上升</w:t>
      </w:r>
    </w:p>
    <w:p w14:paraId="454230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第四季度达到100%，实现阶段性最优水平</w:t>
      </w:r>
    </w:p>
    <w:p w14:paraId="49CB3017">
      <w:pPr>
        <w:pStyle w:val="28"/>
        <w:bidi w:val="0"/>
        <w:rPr>
          <w:rFonts w:hint="default"/>
          <w:lang w:val="en-US" w:eastAsia="zh-CN"/>
        </w:rPr>
      </w:pPr>
      <w:bookmarkStart w:id="24" w:name="_Toc9425"/>
      <w:r>
        <w:rPr>
          <w:rFonts w:hint="eastAsia"/>
          <w:lang w:val="en-US" w:eastAsia="zh-CN"/>
        </w:rPr>
        <w:t>结论与展望</w:t>
      </w:r>
      <w:bookmarkEnd w:id="24"/>
    </w:p>
    <w:p w14:paraId="2E066D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自制度实施以来，已初步建立起标准化、可追溯的服务管理体系，有效提升了事件响应速度与用户满意度。未来将继续深化PDCA循环管理，进一步优化流程、提升人员能力、强化系统支持，确保服务台持续高效运转，为运维服务提供坚实支撑。</w:t>
      </w:r>
    </w:p>
    <w:p w14:paraId="6FFBE10D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AAC3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1E6051"/>
    <w:rsid w:val="1F7D1081"/>
    <w:rsid w:val="1FD004F5"/>
    <w:rsid w:val="204A02A8"/>
    <w:rsid w:val="2E3C1B78"/>
    <w:rsid w:val="39702E1D"/>
    <w:rsid w:val="426E55E1"/>
    <w:rsid w:val="46561E1F"/>
    <w:rsid w:val="48632E34"/>
    <w:rsid w:val="48E369DE"/>
    <w:rsid w:val="59337639"/>
    <w:rsid w:val="65F75DA9"/>
    <w:rsid w:val="661F2C0A"/>
    <w:rsid w:val="664F5785"/>
    <w:rsid w:val="694C7D5C"/>
    <w:rsid w:val="6DA820A8"/>
    <w:rsid w:val="6E49361B"/>
    <w:rsid w:val="6F4A5602"/>
    <w:rsid w:val="75EF4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20149794636386"/>
          <c:y val="0.0492987675308117"/>
          <c:w val="0.660352742208263"/>
          <c:h val="0.762515937101573"/>
        </c:manualLayout>
      </c:layout>
      <c:lineChart>
        <c:grouping val="standard"/>
        <c:varyColors val="0"/>
        <c:ser>
          <c:idx val="0"/>
          <c:order val="0"/>
          <c:tx>
            <c:strRef>
              <c:f>"派单成功率"</c:f>
              <c:strCache>
                <c:ptCount val="1"/>
                <c:pt idx="0">
                  <c:v>派单成功率</c:v>
                </c:pt>
              </c:strCache>
            </c:strRef>
          </c:tx>
          <c:spPr>
            <a:ln w="28575" cap="rnd" cmpd="sng" algn="ctr">
              <a:solidFill>
                <a:schemeClr val="accent1"/>
              </a:solidFill>
              <a:prstDash val="solid"/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prstDash val="solid"/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  <c:pt idx="3">
                  <c:v>第四季度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0.9</c:v>
                </c:pt>
                <c:pt idx="1">
                  <c:v>0.92</c:v>
                </c:pt>
                <c:pt idx="2">
                  <c:v>0.95</c:v>
                </c:pt>
                <c:pt idx="3">
                  <c:v>1</c:v>
                </c:pt>
              </c:numCache>
            </c:numRef>
          </c:val>
          <c:smooth val="0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prstDash val="solid"/>
              <a:round/>
            </a:ln>
            <a:effectLst/>
          </c:spPr>
        </c:dropLines>
        <c:marker val="0"/>
        <c:smooth val="0"/>
        <c:axId val="395247009"/>
        <c:axId val="180777218"/>
        <c:extLst>
          <c:ext xmlns:c15="http://schemas.microsoft.com/office/drawing/2012/chart" uri="{02D57815-91ED-43cb-92C2-25804820EDAC}">
            <c15:filteredLine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 cmpd="sng" algn="ctr">
                    <a:solidFill>
                      <a:schemeClr val="accent2"/>
                    </a:solidFill>
                    <a:prstDash val="solid"/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prstDash val="solid"/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  <c:pt idx="3">
                        <c:v>第四季度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  <c15:filteredLineSeries>
              <c15:ser>
                <c:idx val="2"/>
                <c:order val="2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 cmpd="sng" algn="ctr">
                    <a:solidFill>
                      <a:schemeClr val="accent3"/>
                    </a:solidFill>
                    <a:prstDash val="solid"/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prstDash val="solid"/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  <c:pt idx="3">
                        <c:v>第四季度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</c:ext>
        </c:extLst>
      </c:lineChart>
      <c:catAx>
        <c:axId val="395247009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季度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prstDash val="solid"/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80777218"/>
        <c:crosses val="autoZero"/>
        <c:auto val="1"/>
        <c:lblAlgn val="ctr"/>
        <c:lblOffset val="100"/>
        <c:noMultiLvlLbl val="0"/>
      </c:catAx>
      <c:valAx>
        <c:axId val="180777218"/>
        <c:scaling>
          <c:orientation val="minMax"/>
          <c:max val="1"/>
          <c:min val="0.85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prstDash val="solid"/>
              <a:round/>
            </a:ln>
            <a:effectLst/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派单成功率（</a:t>
                </a:r>
                <a:r>
                  <a:rPr lang="en-US" altLang="zh-CN"/>
                  <a:t>%</a:t>
                </a:r>
                <a:r>
                  <a:t>）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0%" sourceLinked="1"/>
        <c:majorTickMark val="none"/>
        <c:minorTickMark val="none"/>
        <c:tickLblPos val="nextTo"/>
        <c:spPr>
          <a:noFill/>
          <a:ln w="12700" cap="flat" cmpd="sng" algn="ctr">
            <a:noFill/>
            <a:prstDash val="solid"/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9524700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b85ab4e7-6c15-48bd-8b7c-a482e1f6e7b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prstDash val="solid"/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2814</Words>
  <Characters>3046</Characters>
  <Lines>0</Lines>
  <Paragraphs>0</Paragraphs>
  <TotalTime>0</TotalTime>
  <ScaleCrop>false</ScaleCrop>
  <LinksUpToDate>false</LinksUpToDate>
  <CharactersWithSpaces>3144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2026-04-24T18:25:34Z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