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F5AD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218"/>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D5DACE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6704"/>
      <w:r>
        <w:rPr>
          <w:rFonts w:hint="eastAsia"/>
          <w:lang w:val="en-US" w:eastAsia="zh-CN"/>
        </w:rPr>
        <w:t>服务知识应用情况说明</w:t>
      </w:r>
      <w:bookmarkEnd w:id="1"/>
    </w:p>
    <w:p w14:paraId="68644BB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B3F3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283F7B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74BEFA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68444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CC90B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F3099E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7EBE2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CF7435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7902FA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w:t>
            </w:r>
            <w:bookmarkStart w:id="13" w:name="_GoBack"/>
            <w:bookmarkEnd w:id="13"/>
            <w:r>
              <w:rPr>
                <w:rFonts w:hint="eastAsia"/>
                <w:u w:val="single"/>
                <w:vertAlign w:val="baseline"/>
                <w:lang w:val="en-US" w:eastAsia="zh-CN"/>
              </w:rPr>
              <w:t>.30</w:t>
            </w:r>
          </w:p>
        </w:tc>
      </w:tr>
    </w:tbl>
    <w:p w14:paraId="3F4D495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41B60E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49CE8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E78F9EC">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458CF46">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26F9D0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61DFA4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732BC2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644E073">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73209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61535F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w:t>
            </w:r>
            <w:r>
              <w:rPr>
                <w:rFonts w:hint="eastAsia" w:ascii="宋体" w:hAnsi="宋体" w:cs="宋体"/>
                <w:spacing w:val="3"/>
                <w:position w:val="1"/>
                <w:sz w:val="20"/>
                <w:szCs w:val="20"/>
                <w:lang w:val="en-US" w:eastAsia="zh-CN"/>
              </w:rPr>
              <w:t>3</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04EC81A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1E5162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16EC97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5E7BD8A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asciiTheme="minorAscii" w:hAnsiTheme="minorAscii" w:eastAsiaTheme="minorEastAsia"/>
                <w:spacing w:val="0"/>
                <w:kern w:val="0"/>
                <w:sz w:val="21"/>
                <w:vertAlign w:val="baseline"/>
                <w:lang w:val="en-US" w:eastAsia="zh-CN"/>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1B0652D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79F3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vAlign w:val="top"/>
          </w:tcPr>
          <w:p w14:paraId="5A50848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shd w:val="clear" w:color="auto" w:fill="auto"/>
            <w:vAlign w:val="top"/>
          </w:tcPr>
          <w:p w14:paraId="5FEE36D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2</w:t>
            </w:r>
            <w:r>
              <w:rPr>
                <w:rFonts w:ascii="宋体" w:hAnsi="宋体" w:eastAsia="宋体" w:cs="宋体"/>
                <w:spacing w:val="4"/>
                <w:position w:val="1"/>
                <w:sz w:val="20"/>
                <w:szCs w:val="20"/>
              </w:rPr>
              <w:t>.0</w:t>
            </w:r>
          </w:p>
        </w:tc>
        <w:tc>
          <w:tcPr>
            <w:tcW w:w="1575" w:type="dxa"/>
            <w:shd w:val="clear" w:color="auto" w:fill="auto"/>
            <w:vAlign w:val="top"/>
          </w:tcPr>
          <w:p w14:paraId="39B82B8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lang w:val="en-US" w:eastAsia="zh-CN"/>
              </w:rPr>
            </w:pPr>
            <w:r>
              <w:rPr>
                <w:rFonts w:hint="eastAsia" w:asciiTheme="minorAscii" w:hAnsiTheme="minorAscii" w:eastAsiaTheme="minorEastAsia"/>
                <w:spacing w:val="0"/>
                <w:kern w:val="0"/>
                <w:sz w:val="21"/>
                <w:vertAlign w:val="baseline"/>
                <w:lang w:val="en-US" w:eastAsia="zh-CN"/>
              </w:rPr>
              <w:t>修订</w:t>
            </w:r>
          </w:p>
        </w:tc>
        <w:tc>
          <w:tcPr>
            <w:tcW w:w="1829" w:type="dxa"/>
            <w:shd w:val="clear" w:color="auto" w:fill="auto"/>
            <w:vAlign w:val="top"/>
          </w:tcPr>
          <w:p w14:paraId="46C5697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程方</w:t>
            </w:r>
          </w:p>
        </w:tc>
        <w:tc>
          <w:tcPr>
            <w:tcW w:w="1606" w:type="dxa"/>
            <w:shd w:val="clear" w:color="auto" w:fill="auto"/>
            <w:vAlign w:val="top"/>
          </w:tcPr>
          <w:p w14:paraId="30D9A17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asciiTheme="minorAscii" w:hAnsiTheme="minorAscii" w:eastAsiaTheme="minorEastAsia"/>
                <w:spacing w:val="0"/>
                <w:kern w:val="0"/>
                <w:sz w:val="21"/>
                <w:vertAlign w:val="baseline"/>
                <w:lang w:val="en-US" w:eastAsia="en-US"/>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vAlign w:val="top"/>
          </w:tcPr>
          <w:p w14:paraId="295643B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74A0E6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4C09E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ECB7F9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1D8BFA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3B1E64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F9E37F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001E3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90D40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85B70B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7F63F6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F27CE9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E73B97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0E6457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A25A8C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6831B0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B21020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8BD516C">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_Toc31218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_Toc31218 \h </w:instrText>
          </w:r>
          <w:r>
            <w:fldChar w:fldCharType="separate"/>
          </w:r>
          <w:r>
            <w:t>1</w:t>
          </w:r>
          <w:r>
            <w:fldChar w:fldCharType="end"/>
          </w:r>
          <w:r>
            <w:rPr>
              <w:rFonts w:hint="eastAsia" w:ascii="宋体" w:hAnsi="宋体" w:eastAsia="宋体" w:cs="宋体"/>
              <w:szCs w:val="24"/>
            </w:rPr>
            <w:fldChar w:fldCharType="end"/>
          </w:r>
        </w:p>
        <w:p w14:paraId="555B16D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_Toc26704 </w:instrText>
          </w:r>
          <w:r>
            <w:rPr>
              <w:rFonts w:hint="eastAsia" w:ascii="宋体" w:hAnsi="宋体" w:eastAsia="宋体" w:cs="宋体"/>
              <w:szCs w:val="24"/>
            </w:rPr>
            <w:fldChar w:fldCharType="separate"/>
          </w:r>
          <w:r>
            <w:rPr>
              <w:rFonts w:hint="eastAsia"/>
              <w:lang w:val="en-US" w:eastAsia="zh-CN"/>
            </w:rPr>
            <w:t>服务知识应用情况说明</w:t>
          </w:r>
          <w:r>
            <w:tab/>
          </w:r>
          <w:r>
            <w:fldChar w:fldCharType="begin"/>
          </w:r>
          <w:r>
            <w:instrText xml:space="preserve"> PAGEREF _Toc26704 \h </w:instrText>
          </w:r>
          <w:r>
            <w:fldChar w:fldCharType="separate"/>
          </w:r>
          <w:r>
            <w:t>1</w:t>
          </w:r>
          <w:r>
            <w:fldChar w:fldCharType="end"/>
          </w:r>
          <w:r>
            <w:rPr>
              <w:rFonts w:hint="eastAsia" w:ascii="宋体" w:hAnsi="宋体" w:eastAsia="宋体" w:cs="宋体"/>
              <w:szCs w:val="24"/>
            </w:rPr>
            <w:fldChar w:fldCharType="end"/>
          </w:r>
        </w:p>
        <w:p w14:paraId="2B08CA4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_Toc4818 </w:instrText>
          </w:r>
          <w:r>
            <w:rPr>
              <w:rFonts w:hint="eastAsia" w:ascii="宋体" w:hAnsi="宋体" w:eastAsia="宋体" w:cs="宋体"/>
              <w:szCs w:val="24"/>
            </w:rPr>
            <w:fldChar w:fldCharType="separate"/>
          </w:r>
          <w:r>
            <w:rPr>
              <w:rFonts w:hint="default"/>
              <w:lang w:val="en-US" w:eastAsia="zh-CN"/>
            </w:rPr>
            <w:t>1. 知识管理体系建立与职责落实情况</w:t>
          </w:r>
          <w:r>
            <w:tab/>
          </w:r>
          <w:r>
            <w:fldChar w:fldCharType="begin"/>
          </w:r>
          <w:r>
            <w:instrText xml:space="preserve"> PAGEREF _Toc4818 \h </w:instrText>
          </w:r>
          <w:r>
            <w:fldChar w:fldCharType="separate"/>
          </w:r>
          <w:r>
            <w:t>4</w:t>
          </w:r>
          <w:r>
            <w:fldChar w:fldCharType="end"/>
          </w:r>
          <w:r>
            <w:rPr>
              <w:rFonts w:hint="eastAsia" w:ascii="宋体" w:hAnsi="宋体" w:eastAsia="宋体" w:cs="宋体"/>
              <w:szCs w:val="24"/>
            </w:rPr>
            <w:fldChar w:fldCharType="end"/>
          </w:r>
        </w:p>
        <w:p w14:paraId="2297AC7B">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_Toc8166 </w:instrText>
          </w:r>
          <w:r>
            <w:rPr>
              <w:rFonts w:hint="eastAsia" w:ascii="宋体" w:hAnsi="宋体" w:eastAsia="宋体" w:cs="宋体"/>
              <w:szCs w:val="24"/>
            </w:rPr>
            <w:fldChar w:fldCharType="separate"/>
          </w:r>
          <w:r>
            <w:rPr>
              <w:rFonts w:hint="default"/>
              <w:lang w:val="en-US" w:eastAsia="zh-CN"/>
            </w:rPr>
            <w:t>1.1. 制度与规范落地</w:t>
          </w:r>
          <w:r>
            <w:tab/>
          </w:r>
          <w:r>
            <w:fldChar w:fldCharType="begin"/>
          </w:r>
          <w:r>
            <w:instrText xml:space="preserve"> PAGEREF _Toc8166 \h </w:instrText>
          </w:r>
          <w:r>
            <w:fldChar w:fldCharType="separate"/>
          </w:r>
          <w:r>
            <w:t>4</w:t>
          </w:r>
          <w:r>
            <w:fldChar w:fldCharType="end"/>
          </w:r>
          <w:r>
            <w:rPr>
              <w:rFonts w:hint="eastAsia" w:ascii="宋体" w:hAnsi="宋体" w:eastAsia="宋体" w:cs="宋体"/>
              <w:szCs w:val="24"/>
            </w:rPr>
            <w:fldChar w:fldCharType="end"/>
          </w:r>
        </w:p>
        <w:p w14:paraId="44636E2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_Toc19085 </w:instrText>
          </w:r>
          <w:r>
            <w:rPr>
              <w:rFonts w:hint="eastAsia" w:ascii="宋体" w:hAnsi="宋体" w:eastAsia="宋体" w:cs="宋体"/>
              <w:szCs w:val="24"/>
            </w:rPr>
            <w:fldChar w:fldCharType="separate"/>
          </w:r>
          <w:r>
            <w:rPr>
              <w:rFonts w:hint="default"/>
              <w:lang w:val="en-US" w:eastAsia="zh-CN"/>
            </w:rPr>
            <w:t>1.2. 管理职责明确</w:t>
          </w:r>
          <w:r>
            <w:tab/>
          </w:r>
          <w:r>
            <w:fldChar w:fldCharType="begin"/>
          </w:r>
          <w:r>
            <w:instrText xml:space="preserve"> PAGEREF _Toc19085 \h </w:instrText>
          </w:r>
          <w:r>
            <w:fldChar w:fldCharType="separate"/>
          </w:r>
          <w:r>
            <w:t>4</w:t>
          </w:r>
          <w:r>
            <w:fldChar w:fldCharType="end"/>
          </w:r>
          <w:r>
            <w:rPr>
              <w:rFonts w:hint="eastAsia" w:ascii="宋体" w:hAnsi="宋体" w:eastAsia="宋体" w:cs="宋体"/>
              <w:szCs w:val="24"/>
            </w:rPr>
            <w:fldChar w:fldCharType="end"/>
          </w:r>
        </w:p>
        <w:p w14:paraId="6E0ACCC5">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服务知识</w:t>
          </w:r>
          <w:r>
            <w:rPr>
              <w:rFonts w:hint="default"/>
              <w:lang w:val="en-US" w:eastAsia="zh-CN"/>
            </w:rPr>
            <w:t>建设与内容运营情况</w:t>
          </w:r>
          <w:r>
            <w:tab/>
          </w:r>
          <w:r>
            <w:fldChar w:fldCharType="begin"/>
          </w:r>
          <w:r>
            <w:instrText xml:space="preserve"> PAGEREF _Toc11749 \h </w:instrText>
          </w:r>
          <w:r>
            <w:fldChar w:fldCharType="separate"/>
          </w:r>
          <w:r>
            <w:t>4</w:t>
          </w:r>
          <w:r>
            <w:fldChar w:fldCharType="end"/>
          </w:r>
          <w:r>
            <w:rPr>
              <w:rFonts w:hint="eastAsia" w:ascii="宋体" w:hAnsi="宋体" w:eastAsia="宋体" w:cs="宋体"/>
              <w:szCs w:val="24"/>
            </w:rPr>
            <w:fldChar w:fldCharType="end"/>
          </w:r>
        </w:p>
        <w:p w14:paraId="18FF66E4">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_Toc3881 </w:instrText>
          </w:r>
          <w:r>
            <w:rPr>
              <w:rFonts w:hint="eastAsia" w:ascii="宋体" w:hAnsi="宋体" w:eastAsia="宋体" w:cs="宋体"/>
              <w:szCs w:val="24"/>
            </w:rPr>
            <w:fldChar w:fldCharType="separate"/>
          </w:r>
          <w:r>
            <w:rPr>
              <w:rFonts w:hint="default"/>
              <w:lang w:val="en-US" w:eastAsia="zh-CN"/>
            </w:rPr>
            <w:t>2.1. 系统平台搭建</w:t>
          </w:r>
          <w:r>
            <w:tab/>
          </w:r>
          <w:r>
            <w:fldChar w:fldCharType="begin"/>
          </w:r>
          <w:r>
            <w:instrText xml:space="preserve"> PAGEREF _Toc3881 \h </w:instrText>
          </w:r>
          <w:r>
            <w:fldChar w:fldCharType="separate"/>
          </w:r>
          <w:r>
            <w:t>4</w:t>
          </w:r>
          <w:r>
            <w:fldChar w:fldCharType="end"/>
          </w:r>
          <w:r>
            <w:rPr>
              <w:rFonts w:hint="eastAsia" w:ascii="宋体" w:hAnsi="宋体" w:eastAsia="宋体" w:cs="宋体"/>
              <w:szCs w:val="24"/>
            </w:rPr>
            <w:fldChar w:fldCharType="end"/>
          </w:r>
        </w:p>
        <w:p w14:paraId="2243130F">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_Toc27108 </w:instrText>
          </w:r>
          <w:r>
            <w:rPr>
              <w:rFonts w:hint="eastAsia" w:ascii="宋体" w:hAnsi="宋体" w:eastAsia="宋体" w:cs="宋体"/>
              <w:szCs w:val="24"/>
            </w:rPr>
            <w:fldChar w:fldCharType="separate"/>
          </w:r>
          <w:r>
            <w:rPr>
              <w:rFonts w:hint="default"/>
              <w:lang w:val="en-US" w:eastAsia="zh-CN"/>
            </w:rPr>
            <w:t>2.2. 知识内容积累</w:t>
          </w:r>
          <w:r>
            <w:tab/>
          </w:r>
          <w:r>
            <w:fldChar w:fldCharType="begin"/>
          </w:r>
          <w:r>
            <w:instrText xml:space="preserve"> PAGEREF _Toc27108 \h </w:instrText>
          </w:r>
          <w:r>
            <w:fldChar w:fldCharType="separate"/>
          </w:r>
          <w:r>
            <w:t>4</w:t>
          </w:r>
          <w:r>
            <w:fldChar w:fldCharType="end"/>
          </w:r>
          <w:r>
            <w:rPr>
              <w:rFonts w:hint="eastAsia" w:ascii="宋体" w:hAnsi="宋体" w:eastAsia="宋体" w:cs="宋体"/>
              <w:szCs w:val="24"/>
            </w:rPr>
            <w:fldChar w:fldCharType="end"/>
          </w:r>
        </w:p>
        <w:p w14:paraId="77F1A648">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_Toc15563 </w:instrText>
          </w:r>
          <w:r>
            <w:rPr>
              <w:rFonts w:hint="eastAsia" w:ascii="宋体" w:hAnsi="宋体" w:eastAsia="宋体" w:cs="宋体"/>
              <w:szCs w:val="24"/>
            </w:rPr>
            <w:fldChar w:fldCharType="separate"/>
          </w:r>
          <w:r>
            <w:rPr>
              <w:rFonts w:hint="default"/>
              <w:lang w:val="en-US" w:eastAsia="zh-CN"/>
            </w:rPr>
            <w:t>2.3. 流程执行情况</w:t>
          </w:r>
          <w:r>
            <w:tab/>
          </w:r>
          <w:r>
            <w:fldChar w:fldCharType="begin"/>
          </w:r>
          <w:r>
            <w:instrText xml:space="preserve"> PAGEREF _Toc15563 \h </w:instrText>
          </w:r>
          <w:r>
            <w:fldChar w:fldCharType="separate"/>
          </w:r>
          <w:r>
            <w:t>5</w:t>
          </w:r>
          <w:r>
            <w:fldChar w:fldCharType="end"/>
          </w:r>
          <w:r>
            <w:rPr>
              <w:rFonts w:hint="eastAsia" w:ascii="宋体" w:hAnsi="宋体" w:eastAsia="宋体" w:cs="宋体"/>
              <w:szCs w:val="24"/>
            </w:rPr>
            <w:fldChar w:fldCharType="end"/>
          </w:r>
        </w:p>
        <w:p w14:paraId="28E53A6B">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_Toc16061 </w:instrText>
          </w:r>
          <w:r>
            <w:rPr>
              <w:rFonts w:hint="eastAsia" w:ascii="宋体" w:hAnsi="宋体" w:eastAsia="宋体" w:cs="宋体"/>
              <w:szCs w:val="24"/>
            </w:rPr>
            <w:fldChar w:fldCharType="separate"/>
          </w:r>
          <w:r>
            <w:rPr>
              <w:rFonts w:hint="default"/>
              <w:lang w:val="en-US" w:eastAsia="zh-CN"/>
            </w:rPr>
            <w:t>3. 核心考核指标达成情况</w:t>
          </w:r>
          <w:r>
            <w:tab/>
          </w:r>
          <w:r>
            <w:fldChar w:fldCharType="begin"/>
          </w:r>
          <w:r>
            <w:instrText xml:space="preserve"> PAGEREF _Toc16061 \h </w:instrText>
          </w:r>
          <w:r>
            <w:fldChar w:fldCharType="separate"/>
          </w:r>
          <w:r>
            <w:t>5</w:t>
          </w:r>
          <w:r>
            <w:fldChar w:fldCharType="end"/>
          </w:r>
          <w:r>
            <w:rPr>
              <w:rFonts w:hint="eastAsia" w:ascii="宋体" w:hAnsi="宋体" w:eastAsia="宋体" w:cs="宋体"/>
              <w:szCs w:val="24"/>
            </w:rPr>
            <w:fldChar w:fldCharType="end"/>
          </w:r>
        </w:p>
        <w:p w14:paraId="6BD08F7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_Toc7457 </w:instrText>
          </w:r>
          <w:r>
            <w:rPr>
              <w:rFonts w:hint="eastAsia" w:ascii="宋体" w:hAnsi="宋体" w:eastAsia="宋体" w:cs="宋体"/>
              <w:szCs w:val="24"/>
            </w:rPr>
            <w:fldChar w:fldCharType="separate"/>
          </w:r>
          <w:r>
            <w:rPr>
              <w:rFonts w:hint="default"/>
              <w:lang w:val="en-US" w:eastAsia="zh-CN"/>
            </w:rPr>
            <w:t>4. 取得的成效与价值</w:t>
          </w:r>
          <w:r>
            <w:tab/>
          </w:r>
          <w:r>
            <w:fldChar w:fldCharType="begin"/>
          </w:r>
          <w:r>
            <w:instrText xml:space="preserve"> PAGEREF _Toc7457 \h </w:instrText>
          </w:r>
          <w:r>
            <w:fldChar w:fldCharType="separate"/>
          </w:r>
          <w:r>
            <w:t>6</w:t>
          </w:r>
          <w:r>
            <w:fldChar w:fldCharType="end"/>
          </w:r>
          <w:r>
            <w:rPr>
              <w:rFonts w:hint="eastAsia" w:ascii="宋体" w:hAnsi="宋体" w:eastAsia="宋体" w:cs="宋体"/>
              <w:szCs w:val="24"/>
            </w:rPr>
            <w:fldChar w:fldCharType="end"/>
          </w:r>
        </w:p>
        <w:p w14:paraId="53E4AA9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_Toc6328 </w:instrText>
          </w:r>
          <w:r>
            <w:rPr>
              <w:rFonts w:hint="eastAsia" w:ascii="宋体" w:hAnsi="宋体" w:eastAsia="宋体" w:cs="宋体"/>
              <w:szCs w:val="24"/>
            </w:rPr>
            <w:fldChar w:fldCharType="separate"/>
          </w:r>
          <w:r>
            <w:rPr>
              <w:rFonts w:hint="default"/>
              <w:lang w:val="en-US" w:eastAsia="zh-CN"/>
            </w:rPr>
            <w:t>5. 持续改进方向</w:t>
          </w:r>
          <w:r>
            <w:tab/>
          </w:r>
          <w:r>
            <w:fldChar w:fldCharType="begin"/>
          </w:r>
          <w:r>
            <w:instrText xml:space="preserve"> PAGEREF _Toc6328 \h </w:instrText>
          </w:r>
          <w:r>
            <w:fldChar w:fldCharType="separate"/>
          </w:r>
          <w:r>
            <w:t>7</w:t>
          </w:r>
          <w:r>
            <w:fldChar w:fldCharType="end"/>
          </w:r>
          <w:r>
            <w:rPr>
              <w:rFonts w:hint="eastAsia" w:ascii="宋体" w:hAnsi="宋体" w:eastAsia="宋体" w:cs="宋体"/>
              <w:szCs w:val="24"/>
            </w:rPr>
            <w:fldChar w:fldCharType="end"/>
          </w:r>
        </w:p>
        <w:p w14:paraId="2A34B75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_Toc22366 </w:instrText>
          </w:r>
          <w:r>
            <w:rPr>
              <w:rFonts w:hint="eastAsia" w:ascii="宋体" w:hAnsi="宋体" w:eastAsia="宋体" w:cs="宋体"/>
              <w:szCs w:val="24"/>
            </w:rPr>
            <w:fldChar w:fldCharType="separate"/>
          </w:r>
          <w:r>
            <w:rPr>
              <w:rFonts w:hint="default"/>
              <w:lang w:val="en-US" w:eastAsia="zh-CN"/>
            </w:rPr>
            <w:t>6. 总结</w:t>
          </w:r>
          <w:r>
            <w:tab/>
          </w:r>
          <w:r>
            <w:fldChar w:fldCharType="begin"/>
          </w:r>
          <w:r>
            <w:instrText xml:space="preserve"> PAGEREF _Toc22366 \h </w:instrText>
          </w:r>
          <w:r>
            <w:fldChar w:fldCharType="separate"/>
          </w:r>
          <w:r>
            <w:t>7</w:t>
          </w:r>
          <w:r>
            <w:fldChar w:fldCharType="end"/>
          </w:r>
          <w:r>
            <w:rPr>
              <w:rFonts w:hint="eastAsia" w:ascii="宋体" w:hAnsi="宋体" w:eastAsia="宋体" w:cs="宋体"/>
              <w:szCs w:val="24"/>
            </w:rPr>
            <w:fldChar w:fldCharType="end"/>
          </w:r>
        </w:p>
        <w:p w14:paraId="0399D9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57B029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4A8E5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为全面落实《服务知识管理制度》，推动公司知识资产的系统性积累、高效共享与有效复用，自制度发布以来，知识管理工作已全面展开并逐步深化。现将截至2025年1</w:t>
      </w:r>
      <w:r>
        <w:rPr>
          <w:rFonts w:hint="eastAsia"/>
          <w:lang w:val="en-US" w:eastAsia="zh-CN"/>
        </w:rPr>
        <w:t>2</w:t>
      </w:r>
      <w:r>
        <w:rPr>
          <w:rFonts w:hint="default"/>
          <w:lang w:val="en-US" w:eastAsia="zh-CN"/>
        </w:rPr>
        <w:t>月的应用情况</w:t>
      </w:r>
      <w:r>
        <w:rPr>
          <w:rFonts w:hint="eastAsia"/>
          <w:lang w:val="en-US" w:eastAsia="zh-CN"/>
        </w:rPr>
        <w:t>进行汇报。</w:t>
      </w:r>
    </w:p>
    <w:p w14:paraId="31BE80A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818"/>
      <w:r>
        <w:rPr>
          <w:rFonts w:hint="default"/>
          <w:lang w:val="en-US" w:eastAsia="zh-CN"/>
        </w:rPr>
        <w:t>知识管理体系建立与职责落实情况</w:t>
      </w:r>
      <w:bookmarkEnd w:id="2"/>
    </w:p>
    <w:p w14:paraId="31946C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166"/>
      <w:r>
        <w:rPr>
          <w:rFonts w:hint="default"/>
          <w:lang w:val="en-US" w:eastAsia="zh-CN"/>
        </w:rPr>
        <w:t>制度与规范落地</w:t>
      </w:r>
      <w:bookmarkEnd w:id="3"/>
    </w:p>
    <w:p w14:paraId="2C7D4D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已依据制度要求，明确了知识从“识别、提交、审核、发布、更新到归档”的全生命周期管理流程，并制定了配套的《知识提交表》模板及审核操作细则。</w:t>
      </w:r>
    </w:p>
    <w:p w14:paraId="52CF68C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9085"/>
      <w:r>
        <w:rPr>
          <w:rFonts w:hint="default"/>
          <w:lang w:val="en-US" w:eastAsia="zh-CN"/>
        </w:rPr>
        <w:t>管理职责明确</w:t>
      </w:r>
      <w:bookmarkEnd w:id="4"/>
    </w:p>
    <w:p w14:paraId="3FE4EE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服务知识专员岗位职责已落实到位，负责</w:t>
      </w:r>
      <w:r>
        <w:rPr>
          <w:rFonts w:hint="eastAsia"/>
          <w:lang w:val="en-US" w:eastAsia="zh-CN"/>
        </w:rPr>
        <w:t>服务知识</w:t>
      </w:r>
      <w:r>
        <w:rPr>
          <w:rFonts w:hint="default"/>
          <w:lang w:val="en-US" w:eastAsia="zh-CN"/>
        </w:rPr>
        <w:t>的日常维护、内容审核、权限管理及定期备份工作。</w:t>
      </w:r>
    </w:p>
    <w:p w14:paraId="06A42D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各部门负责人承担本部门知识提交的初审责任，推动经验转化。</w:t>
      </w:r>
    </w:p>
    <w:p w14:paraId="53F6B4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通过宣贯与培训，明确了全体运维人员作为“知识提交人”的角色与义务，倡导“人人贡献、人人分享”的文化。</w:t>
      </w:r>
    </w:p>
    <w:p w14:paraId="27A4337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1749"/>
      <w:r>
        <w:rPr>
          <w:rFonts w:hint="eastAsia"/>
          <w:lang w:val="en-US" w:eastAsia="zh-CN"/>
        </w:rPr>
        <w:t>服务知识</w:t>
      </w:r>
      <w:r>
        <w:rPr>
          <w:rFonts w:hint="default"/>
          <w:lang w:val="en-US" w:eastAsia="zh-CN"/>
        </w:rPr>
        <w:t>建设与内容运营情况</w:t>
      </w:r>
      <w:bookmarkEnd w:id="5"/>
    </w:p>
    <w:p w14:paraId="533FA56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881"/>
      <w:r>
        <w:rPr>
          <w:rFonts w:hint="default"/>
          <w:lang w:val="en-US" w:eastAsia="zh-CN"/>
        </w:rPr>
        <w:t>系统平台搭建</w:t>
      </w:r>
      <w:bookmarkEnd w:id="6"/>
    </w:p>
    <w:p w14:paraId="6041CC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规范，建立了体系化的知识分类与归档机制。严格按照四大类（技术知识、运维文档、流程规范、培训资料）对知识内容进行系统化梳理与结构化存储，确保了知识体系的清晰性和完整性。通过实施统一的命名规范、关键词标签与多级目录管理，有效提升了知识的可检索性与复用效率，为知识的积累、共享与应用提供了坚实基础。</w:t>
      </w:r>
    </w:p>
    <w:p w14:paraId="72DA31D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7108"/>
      <w:r>
        <w:rPr>
          <w:rFonts w:hint="default"/>
          <w:lang w:val="en-US" w:eastAsia="zh-CN"/>
        </w:rPr>
        <w:t>知识内容积累</w:t>
      </w:r>
      <w:bookmarkEnd w:id="7"/>
    </w:p>
    <w:p w14:paraId="21A49A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w:t>
      </w:r>
      <w:r>
        <w:rPr>
          <w:rFonts w:hint="eastAsia"/>
          <w:lang w:val="en-US" w:eastAsia="zh-CN"/>
        </w:rPr>
        <w:t>服务知识</w:t>
      </w:r>
      <w:r>
        <w:rPr>
          <w:rFonts w:hint="default"/>
          <w:lang w:val="en-US" w:eastAsia="zh-CN"/>
        </w:rPr>
        <w:t>累计有效知识条目已达</w:t>
      </w:r>
      <w:r>
        <w:rPr>
          <w:rFonts w:hint="eastAsia"/>
          <w:lang w:val="en-US" w:eastAsia="zh-CN"/>
        </w:rPr>
        <w:t>60</w:t>
      </w:r>
      <w:r>
        <w:rPr>
          <w:rFonts w:hint="default"/>
          <w:lang w:val="en-US" w:eastAsia="zh-CN"/>
        </w:rPr>
        <w:t>条。其中：</w:t>
      </w:r>
    </w:p>
    <w:p w14:paraId="5F0FCD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技术知识类与运维文档类条目占比最高，主要包括常见故障处理方案、系统配置指南及典型案例复盘，直接支撑一线运维工作。</w:t>
      </w:r>
    </w:p>
    <w:p w14:paraId="37C504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流程规范类与培训资料类条目系统收录了标准作业程序与内部培训材料，为服务标准化与人员培训提供了基础。</w:t>
      </w:r>
    </w:p>
    <w:p w14:paraId="02D7C7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1135" cy="2056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135" cy="2056765"/>
                    </a:xfrm>
                    <a:prstGeom prst="rect">
                      <a:avLst/>
                    </a:prstGeom>
                    <a:noFill/>
                    <a:ln>
                      <a:noFill/>
                    </a:ln>
                  </pic:spPr>
                </pic:pic>
              </a:graphicData>
            </a:graphic>
          </wp:inline>
        </w:drawing>
      </w:r>
    </w:p>
    <w:p w14:paraId="5BB3B8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2245" cy="152209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2245" cy="1522095"/>
                    </a:xfrm>
                    <a:prstGeom prst="rect">
                      <a:avLst/>
                    </a:prstGeom>
                    <a:noFill/>
                    <a:ln>
                      <a:noFill/>
                    </a:ln>
                  </pic:spPr>
                </pic:pic>
              </a:graphicData>
            </a:graphic>
          </wp:inline>
        </w:drawing>
      </w:r>
    </w:p>
    <w:p w14:paraId="3007D3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563"/>
      <w:r>
        <w:rPr>
          <w:rFonts w:hint="default"/>
          <w:lang w:val="en-US" w:eastAsia="zh-CN"/>
        </w:rPr>
        <w:t>流程执行情况</w:t>
      </w:r>
      <w:bookmarkEnd w:id="8"/>
    </w:p>
    <w:p w14:paraId="0B3950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提交与审核：知识提交均通过《知识提交表》发起，遵循“提交人→部门负责人→服务知识专员”的三级审核流程，确保内容准确性与格式规范性。</w:t>
      </w:r>
    </w:p>
    <w:p w14:paraId="1CCA2E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更新与维护：建立了知识内容定期复审机制，对因系统升级或流程变更而失效的知识，已发起修订或归档流程，确保知识时效性。</w:t>
      </w:r>
    </w:p>
    <w:p w14:paraId="1BC546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权限与安全：实现了全员可查阅、按角色控制编辑权限的安全策略，涉密信息均已按规定进行权限管控。</w:t>
      </w:r>
    </w:p>
    <w:p w14:paraId="1D1E024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6061"/>
      <w:r>
        <w:rPr>
          <w:rFonts w:hint="default"/>
          <w:lang w:val="en-US" w:eastAsia="zh-CN"/>
        </w:rPr>
        <w:t>核心考核指标达成情况</w:t>
      </w:r>
      <w:bookmarkEnd w:id="9"/>
    </w:p>
    <w:p w14:paraId="52A8DA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default"/>
          <w:lang w:val="en-US" w:eastAsia="zh-CN"/>
        </w:rPr>
        <w:drawing>
          <wp:inline distT="0" distB="0" distL="114300" distR="114300">
            <wp:extent cx="4327525" cy="1487170"/>
            <wp:effectExtent l="4445" t="4445" r="11430" b="47625"/>
            <wp:docPr id="11" name="图表 1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4A3B73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制度设定的核心季度考核指标为“新增知识条目≥10条”。</w:t>
      </w:r>
    </w:p>
    <w:p w14:paraId="463FEA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第一季度（2025年Q1）：新增知识条目15条。制度初期通过推广活动，积累了首批基础文档。</w:t>
      </w:r>
    </w:p>
    <w:p w14:paraId="0EFAE8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第二季度（2025年Q2）：新增知识条目12条。内容重点转向典型故障案例沉淀。</w:t>
      </w:r>
    </w:p>
    <w:p w14:paraId="61340B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第三季度（2025年Q3）：新增知识条目18条。随着员工意识提升，提交数量与质量同步增长。</w:t>
      </w:r>
    </w:p>
    <w:p w14:paraId="255A20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w:t>
      </w:r>
      <w:r>
        <w:rPr>
          <w:rFonts w:hint="eastAsia"/>
          <w:lang w:val="en-US" w:eastAsia="zh-CN"/>
        </w:rPr>
        <w:t>四</w:t>
      </w:r>
      <w:r>
        <w:rPr>
          <w:rFonts w:hint="default"/>
          <w:lang w:val="en-US" w:eastAsia="zh-CN"/>
        </w:rPr>
        <w:t>季度（2025年Q</w:t>
      </w:r>
      <w:r>
        <w:rPr>
          <w:rFonts w:hint="eastAsia"/>
          <w:lang w:val="en-US" w:eastAsia="zh-CN"/>
        </w:rPr>
        <w:t>4</w:t>
      </w:r>
      <w:r>
        <w:rPr>
          <w:rFonts w:hint="default"/>
          <w:lang w:val="en-US" w:eastAsia="zh-CN"/>
        </w:rPr>
        <w:t>）：新增知识条目</w:t>
      </w:r>
      <w:r>
        <w:rPr>
          <w:rFonts w:hint="eastAsia"/>
          <w:lang w:val="en-US" w:eastAsia="zh-CN"/>
        </w:rPr>
        <w:t>15</w:t>
      </w:r>
      <w:r>
        <w:rPr>
          <w:rFonts w:hint="default"/>
          <w:lang w:val="en-US" w:eastAsia="zh-CN"/>
        </w:rPr>
        <w:t>条。。</w:t>
      </w:r>
    </w:p>
    <w:p w14:paraId="407CC1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月，本年累计新增知识条目已达</w:t>
      </w:r>
      <w:r>
        <w:rPr>
          <w:rFonts w:hint="eastAsia"/>
          <w:lang w:val="en-US" w:eastAsia="zh-CN"/>
        </w:rPr>
        <w:t>60</w:t>
      </w:r>
      <w:r>
        <w:rPr>
          <w:rFonts w:hint="default"/>
          <w:lang w:val="en-US" w:eastAsia="zh-CN"/>
        </w:rPr>
        <w:t>条，各季度均超额完成考核目标，知识积累呈现稳步增长态势。</w:t>
      </w:r>
    </w:p>
    <w:p w14:paraId="2D538DD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7457"/>
      <w:r>
        <w:rPr>
          <w:rFonts w:hint="default"/>
          <w:lang w:val="en-US" w:eastAsia="zh-CN"/>
        </w:rPr>
        <w:t>取得的成效与价值</w:t>
      </w:r>
      <w:bookmarkEnd w:id="10"/>
    </w:p>
    <w:p w14:paraId="1B9B74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提升运维效率：常见问题的解决方案可直接从</w:t>
      </w:r>
      <w:r>
        <w:rPr>
          <w:rFonts w:hint="eastAsia"/>
          <w:lang w:val="en-US" w:eastAsia="zh-CN"/>
        </w:rPr>
        <w:t>服务知识</w:t>
      </w:r>
      <w:r>
        <w:rPr>
          <w:rFonts w:hint="default"/>
          <w:lang w:val="en-US" w:eastAsia="zh-CN"/>
        </w:rPr>
        <w:t>获取，一线解决率预估提升约20%，平均事件处理时长有所下降。</w:t>
      </w:r>
    </w:p>
    <w:p w14:paraId="12FD5E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促进经验传承：通过将个人经验转化为组织资产，有效降低了因人员流动带来的知识流失风险，加速了新员工成长。</w:t>
      </w:r>
    </w:p>
    <w:p w14:paraId="517610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强化问题预防：对过往故障案例的复盘与共享，有助于识别潜在风险，推动从“被动救火”到“主动预防”的转变。</w:t>
      </w:r>
    </w:p>
    <w:p w14:paraId="7E9581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支持决策与培训：结构化的知识为管理决策提供了数据支持，分类培训资料也成为内部培训体系的重要组成。</w:t>
      </w:r>
    </w:p>
    <w:p w14:paraId="4EE45FE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6328"/>
      <w:r>
        <w:rPr>
          <w:rFonts w:hint="default"/>
          <w:lang w:val="en-US" w:eastAsia="zh-CN"/>
        </w:rPr>
        <w:t>持续改进方向</w:t>
      </w:r>
      <w:bookmarkEnd w:id="11"/>
    </w:p>
    <w:p w14:paraId="184B6A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深化内容质量：启动“精品知识”评选计划，激励提交高质量、高复用性的知识条目，并优化审核标准。</w:t>
      </w:r>
    </w:p>
    <w:p w14:paraId="5AEB66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提升使用体验：计划引入知识地图与智能搜索功能，提升知识检索的便捷性与准确性。</w:t>
      </w:r>
    </w:p>
    <w:p w14:paraId="4F5792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加强推广与激励：将持续开展知识管理优秀部门与个人评选，并将知识贡献纳入相关岗位的绩效考核范畴，形成长效激励机制。</w:t>
      </w:r>
    </w:p>
    <w:p w14:paraId="16C11C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推动跨部门共享：探索与研发、客服等部门的知识联动机制，扩大知识管理的价值半径。</w:t>
      </w:r>
    </w:p>
    <w:p w14:paraId="5D6A9F93">
      <w:pPr>
        <w:pStyle w:val="28"/>
        <w:bidi w:val="0"/>
        <w:rPr>
          <w:rFonts w:hint="default"/>
          <w:lang w:val="en-US" w:eastAsia="zh-CN"/>
        </w:rPr>
      </w:pPr>
      <w:bookmarkStart w:id="12" w:name="_Toc22366"/>
      <w:r>
        <w:rPr>
          <w:rFonts w:hint="eastAsia"/>
          <w:lang w:val="en-US" w:eastAsia="zh-CN"/>
        </w:rPr>
        <w:t>近三年应用情况</w:t>
      </w:r>
    </w:p>
    <w:p w14:paraId="2AC38A6D">
      <w:pPr>
        <w:pStyle w:val="30"/>
        <w:bidi w:val="0"/>
        <w:rPr>
          <w:rFonts w:hint="default"/>
          <w:lang w:val="en-US" w:eastAsia="zh-CN"/>
        </w:rPr>
      </w:pPr>
      <w:r>
        <w:rPr>
          <w:rFonts w:hint="eastAsia"/>
          <w:lang w:val="en-US" w:eastAsia="zh-CN"/>
        </w:rPr>
        <w:t>近三年指标完成情况</w:t>
      </w:r>
    </w:p>
    <w:p w14:paraId="23516613">
      <w:pPr>
        <w:pStyle w:val="29"/>
        <w:bidi w:val="0"/>
      </w:pPr>
      <w:r>
        <w:t>自202</w:t>
      </w:r>
      <w:r>
        <w:rPr>
          <w:rFonts w:hint="eastAsia"/>
          <w:lang w:val="en-US" w:eastAsia="zh-CN"/>
        </w:rPr>
        <w:t>2</w:t>
      </w:r>
      <w:r>
        <w:t>年服务知识管理体系初步建立以来，知识应用成效持续提升，近三年核心指标及应用成效如下：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2395"/>
        <w:gridCol w:w="2130"/>
        <w:gridCol w:w="2130"/>
      </w:tblGrid>
      <w:tr w14:paraId="7F25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70CC3359">
            <w:pPr>
              <w:pStyle w:val="29"/>
              <w:widowControl w:val="0"/>
              <w:bidi w:val="0"/>
              <w:rPr>
                <w:rFonts w:hint="default"/>
                <w:vertAlign w:val="baseline"/>
                <w:lang w:val="en-US" w:eastAsia="zh-CN"/>
              </w:rPr>
            </w:pPr>
            <w:r>
              <w:rPr>
                <w:rFonts w:hint="eastAsia"/>
                <w:vertAlign w:val="baseline"/>
                <w:lang w:val="en-US" w:eastAsia="zh-CN"/>
              </w:rPr>
              <w:t>年份</w:t>
            </w:r>
          </w:p>
        </w:tc>
        <w:tc>
          <w:tcPr>
            <w:tcW w:w="2395" w:type="dxa"/>
          </w:tcPr>
          <w:p w14:paraId="66ED7B6B">
            <w:pPr>
              <w:pStyle w:val="29"/>
              <w:widowControl w:val="0"/>
              <w:bidi w:val="0"/>
              <w:rPr>
                <w:rFonts w:hint="default"/>
                <w:vertAlign w:val="baseline"/>
                <w:lang w:val="en-US" w:eastAsia="zh-CN"/>
              </w:rPr>
            </w:pPr>
            <w:r>
              <w:rPr>
                <w:rFonts w:hint="eastAsia"/>
                <w:vertAlign w:val="baseline"/>
                <w:lang w:val="en-US" w:eastAsia="zh-CN"/>
              </w:rPr>
              <w:t>2023年</w:t>
            </w:r>
          </w:p>
        </w:tc>
        <w:tc>
          <w:tcPr>
            <w:tcW w:w="2130" w:type="dxa"/>
          </w:tcPr>
          <w:p w14:paraId="6EA003F7">
            <w:pPr>
              <w:pStyle w:val="29"/>
              <w:widowControl w:val="0"/>
              <w:bidi w:val="0"/>
              <w:rPr>
                <w:rFonts w:hint="default"/>
                <w:vertAlign w:val="baseline"/>
                <w:lang w:val="en-US" w:eastAsia="zh-CN"/>
              </w:rPr>
            </w:pPr>
            <w:r>
              <w:rPr>
                <w:rFonts w:hint="eastAsia"/>
                <w:vertAlign w:val="baseline"/>
                <w:lang w:val="en-US" w:eastAsia="zh-CN"/>
              </w:rPr>
              <w:t>2024年</w:t>
            </w:r>
          </w:p>
        </w:tc>
        <w:tc>
          <w:tcPr>
            <w:tcW w:w="2130" w:type="dxa"/>
          </w:tcPr>
          <w:p w14:paraId="59B50E55">
            <w:pPr>
              <w:pStyle w:val="29"/>
              <w:widowControl w:val="0"/>
              <w:bidi w:val="0"/>
              <w:rPr>
                <w:rFonts w:hint="default"/>
                <w:vertAlign w:val="baseline"/>
                <w:lang w:val="en-US" w:eastAsia="zh-CN"/>
              </w:rPr>
            </w:pPr>
            <w:r>
              <w:rPr>
                <w:rFonts w:hint="eastAsia"/>
                <w:vertAlign w:val="baseline"/>
                <w:lang w:val="en-US" w:eastAsia="zh-CN"/>
              </w:rPr>
              <w:t>2025年</w:t>
            </w:r>
          </w:p>
        </w:tc>
      </w:tr>
      <w:tr w14:paraId="5154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0F98DCEF">
            <w:pPr>
              <w:pStyle w:val="29"/>
              <w:widowControl w:val="0"/>
              <w:bidi w:val="0"/>
              <w:ind w:left="0" w:leftChars="0" w:firstLine="0" w:firstLineChars="0"/>
              <w:rPr>
                <w:rFonts w:hint="default"/>
                <w:vertAlign w:val="baseline"/>
                <w:lang w:val="en-US" w:eastAsia="zh-CN"/>
              </w:rPr>
            </w:pPr>
            <w:r>
              <w:rPr>
                <w:rFonts w:hint="eastAsia"/>
                <w:vertAlign w:val="baseline"/>
                <w:lang w:val="en-US" w:eastAsia="zh-CN"/>
              </w:rPr>
              <w:t>知识新增条数</w:t>
            </w:r>
          </w:p>
        </w:tc>
        <w:tc>
          <w:tcPr>
            <w:tcW w:w="2395" w:type="dxa"/>
          </w:tcPr>
          <w:p w14:paraId="11B4CB6D">
            <w:pPr>
              <w:pStyle w:val="29"/>
              <w:widowControl w:val="0"/>
              <w:bidi w:val="0"/>
              <w:rPr>
                <w:rFonts w:hint="default"/>
                <w:vertAlign w:val="baseline"/>
                <w:lang w:val="en-US" w:eastAsia="zh-CN"/>
              </w:rPr>
            </w:pPr>
            <w:r>
              <w:rPr>
                <w:rFonts w:hint="eastAsia"/>
                <w:vertAlign w:val="baseline"/>
                <w:lang w:val="en-US" w:eastAsia="zh-CN"/>
              </w:rPr>
              <w:t>40条</w:t>
            </w:r>
          </w:p>
        </w:tc>
        <w:tc>
          <w:tcPr>
            <w:tcW w:w="2130" w:type="dxa"/>
          </w:tcPr>
          <w:p w14:paraId="68B3F06E">
            <w:pPr>
              <w:pStyle w:val="29"/>
              <w:widowControl w:val="0"/>
              <w:bidi w:val="0"/>
              <w:rPr>
                <w:rFonts w:hint="default"/>
                <w:vertAlign w:val="baseline"/>
                <w:lang w:val="en-US" w:eastAsia="zh-CN"/>
              </w:rPr>
            </w:pPr>
            <w:r>
              <w:rPr>
                <w:rFonts w:hint="eastAsia"/>
                <w:vertAlign w:val="baseline"/>
                <w:lang w:val="en-US" w:eastAsia="zh-CN"/>
              </w:rPr>
              <w:t>50条</w:t>
            </w:r>
          </w:p>
        </w:tc>
        <w:tc>
          <w:tcPr>
            <w:tcW w:w="2130" w:type="dxa"/>
          </w:tcPr>
          <w:p w14:paraId="7A35F8BC">
            <w:pPr>
              <w:pStyle w:val="29"/>
              <w:widowControl w:val="0"/>
              <w:bidi w:val="0"/>
              <w:rPr>
                <w:rFonts w:hint="default"/>
                <w:vertAlign w:val="baseline"/>
                <w:lang w:val="en-US" w:eastAsia="zh-CN"/>
              </w:rPr>
            </w:pPr>
            <w:r>
              <w:rPr>
                <w:rFonts w:hint="eastAsia"/>
                <w:vertAlign w:val="baseline"/>
                <w:lang w:val="en-US" w:eastAsia="zh-CN"/>
              </w:rPr>
              <w:t>60条</w:t>
            </w:r>
          </w:p>
        </w:tc>
      </w:tr>
    </w:tbl>
    <w:p w14:paraId="5B28E519">
      <w:pPr>
        <w:pStyle w:val="29"/>
        <w:bidi w:val="0"/>
      </w:pPr>
      <w:r>
        <w:t>近三年各年度均达到或超过制度设定的考核目标（≥10条/季度），知识积累呈稳步增长态势</w:t>
      </w:r>
    </w:p>
    <w:p w14:paraId="51749FF0">
      <w:pPr>
        <w:pStyle w:val="30"/>
        <w:bidi w:val="0"/>
        <w:rPr>
          <w:rFonts w:hint="default"/>
          <w:lang w:val="en-US" w:eastAsia="zh-CN"/>
        </w:rPr>
      </w:pPr>
      <w:r>
        <w:rPr>
          <w:rFonts w:hint="default"/>
          <w:lang w:val="en-US" w:eastAsia="zh-CN"/>
        </w:rPr>
        <w:t>年度改进重点与成效</w:t>
      </w:r>
    </w:p>
    <w:p w14:paraId="2E6574D4">
      <w:pPr>
        <w:pStyle w:val="31"/>
        <w:bidi w:val="0"/>
        <w:rPr>
          <w:rFonts w:hint="default"/>
          <w:lang w:val="en-US" w:eastAsia="zh-CN"/>
        </w:rPr>
      </w:pPr>
      <w:r>
        <w:rPr>
          <w:rFonts w:hint="default"/>
          <w:lang w:val="en-US" w:eastAsia="zh-CN"/>
        </w:rPr>
        <w:t>2023年（基础建设期）</w:t>
      </w:r>
    </w:p>
    <w:p w14:paraId="013D3597">
      <w:pPr>
        <w:pStyle w:val="29"/>
        <w:bidi w:val="0"/>
        <w:rPr>
          <w:rFonts w:hint="default"/>
          <w:lang w:val="en-US" w:eastAsia="zh-CN"/>
        </w:rPr>
      </w:pPr>
      <w:r>
        <w:rPr>
          <w:rFonts w:hint="default"/>
          <w:lang w:val="en-US" w:eastAsia="zh-CN"/>
        </w:rPr>
        <w:t>完成知识管理制度的首次发布与宣贯，明确“提交→审核→发布→归档”全生命周期管理流程</w:t>
      </w:r>
    </w:p>
    <w:p w14:paraId="5AA8996B">
      <w:pPr>
        <w:pStyle w:val="29"/>
        <w:bidi w:val="0"/>
        <w:rPr>
          <w:rFonts w:hint="default"/>
          <w:lang w:val="en-US" w:eastAsia="zh-CN"/>
        </w:rPr>
      </w:pPr>
      <w:r>
        <w:rPr>
          <w:rFonts w:hint="default"/>
          <w:lang w:val="en-US" w:eastAsia="zh-CN"/>
        </w:rPr>
        <w:t>系统平台正式上线，完成历史技术文档与流程规范的批量导入</w:t>
      </w:r>
    </w:p>
    <w:p w14:paraId="30F705B2">
      <w:pPr>
        <w:pStyle w:val="29"/>
        <w:bidi w:val="0"/>
        <w:rPr>
          <w:rFonts w:hint="default"/>
          <w:lang w:val="en-US" w:eastAsia="zh-CN"/>
        </w:rPr>
      </w:pPr>
      <w:r>
        <w:rPr>
          <w:rFonts w:hint="default"/>
          <w:lang w:val="en-US" w:eastAsia="zh-CN"/>
        </w:rPr>
        <w:t>全年累计新增知识条目40条，初步实现知识从“无”到“有”的跨越</w:t>
      </w:r>
    </w:p>
    <w:p w14:paraId="77CA2C45">
      <w:pPr>
        <w:pStyle w:val="29"/>
        <w:bidi w:val="0"/>
        <w:rPr>
          <w:rFonts w:hint="default"/>
          <w:lang w:val="en-US" w:eastAsia="zh-CN"/>
        </w:rPr>
      </w:pPr>
      <w:r>
        <w:rPr>
          <w:rFonts w:hint="default"/>
          <w:lang w:val="en-US" w:eastAsia="zh-CN"/>
        </w:rPr>
        <w:t>一线员工知识查阅率尚处于认知培养阶段，知识复用效果初步显现</w:t>
      </w:r>
    </w:p>
    <w:p w14:paraId="364CA2C2">
      <w:pPr>
        <w:pStyle w:val="31"/>
        <w:bidi w:val="0"/>
        <w:rPr>
          <w:rFonts w:hint="default"/>
          <w:lang w:val="en-US" w:eastAsia="zh-CN"/>
        </w:rPr>
      </w:pPr>
      <w:r>
        <w:rPr>
          <w:rFonts w:hint="default"/>
          <w:lang w:val="en-US" w:eastAsia="zh-CN"/>
        </w:rPr>
        <w:t>2024年（稳步提升期）</w:t>
      </w:r>
    </w:p>
    <w:p w14:paraId="77F746B1">
      <w:pPr>
        <w:pStyle w:val="29"/>
        <w:bidi w:val="0"/>
        <w:rPr>
          <w:rFonts w:hint="default"/>
          <w:lang w:val="en-US" w:eastAsia="zh-CN"/>
        </w:rPr>
      </w:pPr>
      <w:r>
        <w:rPr>
          <w:rFonts w:hint="default"/>
          <w:lang w:val="en-US" w:eastAsia="zh-CN"/>
        </w:rPr>
        <w:t>随着制度宣贯深入及知识专员职责落实，员工提交积极性明显提升</w:t>
      </w:r>
    </w:p>
    <w:p w14:paraId="3DE036DB">
      <w:pPr>
        <w:pStyle w:val="29"/>
        <w:bidi w:val="0"/>
        <w:rPr>
          <w:rFonts w:hint="default"/>
          <w:lang w:val="en-US" w:eastAsia="zh-CN"/>
        </w:rPr>
      </w:pPr>
      <w:r>
        <w:rPr>
          <w:rFonts w:hint="default"/>
          <w:lang w:val="en-US" w:eastAsia="zh-CN"/>
        </w:rPr>
        <w:t>内容结构持续优化，典型故障案例与运维文档占比提高</w:t>
      </w:r>
    </w:p>
    <w:p w14:paraId="401D736A">
      <w:pPr>
        <w:pStyle w:val="29"/>
        <w:bidi w:val="0"/>
        <w:rPr>
          <w:rFonts w:hint="default"/>
          <w:lang w:val="en-US" w:eastAsia="zh-CN"/>
        </w:rPr>
      </w:pPr>
      <w:r>
        <w:rPr>
          <w:rFonts w:hint="default"/>
          <w:lang w:val="en-US" w:eastAsia="zh-CN"/>
        </w:rPr>
        <w:t>全年累计新增知识条目50条，同比增长25%</w:t>
      </w:r>
    </w:p>
    <w:p w14:paraId="58ED12CA">
      <w:pPr>
        <w:pStyle w:val="29"/>
        <w:bidi w:val="0"/>
        <w:rPr>
          <w:rFonts w:hint="default"/>
          <w:lang w:val="en-US" w:eastAsia="zh-CN"/>
        </w:rPr>
      </w:pPr>
      <w:r>
        <w:rPr>
          <w:rFonts w:hint="default"/>
          <w:lang w:val="en-US" w:eastAsia="zh-CN"/>
        </w:rPr>
        <w:t>知识查阅频次较上年显著增加，一线问题解决率有所提升</w:t>
      </w:r>
    </w:p>
    <w:p w14:paraId="4F1FD57E">
      <w:pPr>
        <w:pStyle w:val="31"/>
        <w:bidi w:val="0"/>
        <w:rPr>
          <w:rFonts w:hint="default"/>
          <w:lang w:val="en-US" w:eastAsia="zh-CN"/>
        </w:rPr>
      </w:pPr>
      <w:r>
        <w:rPr>
          <w:rFonts w:hint="default"/>
          <w:lang w:val="en-US" w:eastAsia="zh-CN"/>
        </w:rPr>
        <w:t>2025年（成熟应用期）</w:t>
      </w:r>
    </w:p>
    <w:p w14:paraId="1634F8D6">
      <w:pPr>
        <w:pStyle w:val="29"/>
        <w:bidi w:val="0"/>
        <w:rPr>
          <w:rFonts w:hint="default"/>
          <w:lang w:val="en-US" w:eastAsia="zh-CN"/>
        </w:rPr>
      </w:pPr>
      <w:r>
        <w:rPr>
          <w:rFonts w:hint="default"/>
          <w:lang w:val="en-US" w:eastAsia="zh-CN"/>
        </w:rPr>
        <w:t>各季度均超额完成新增10条的目标，全年累计新增60条，较上年增长20%</w:t>
      </w:r>
    </w:p>
    <w:p w14:paraId="1A1EA0BD">
      <w:pPr>
        <w:pStyle w:val="29"/>
        <w:bidi w:val="0"/>
        <w:rPr>
          <w:rFonts w:hint="default"/>
          <w:lang w:val="en-US" w:eastAsia="zh-CN"/>
        </w:rPr>
      </w:pPr>
      <w:r>
        <w:rPr>
          <w:rFonts w:hint="default"/>
          <w:lang w:val="en-US" w:eastAsia="zh-CN"/>
        </w:rPr>
        <w:t>知识复审机制有效运行，定期对失效知识进行修订或归档，保障知识时效性与准确性</w:t>
      </w:r>
    </w:p>
    <w:p w14:paraId="77DA5E89">
      <w:pPr>
        <w:pStyle w:val="29"/>
        <w:bidi w:val="0"/>
        <w:rPr>
          <w:rFonts w:hint="default"/>
          <w:lang w:val="en-US" w:eastAsia="zh-CN"/>
        </w:rPr>
      </w:pPr>
      <w:r>
        <w:rPr>
          <w:rFonts w:hint="default"/>
          <w:lang w:val="en-US" w:eastAsia="zh-CN"/>
        </w:rPr>
        <w:t>服务知识库已成为运维人员日常工作的必备工具</w:t>
      </w:r>
      <w:r>
        <w:rPr>
          <w:rFonts w:hint="eastAsia"/>
          <w:lang w:val="en-US" w:eastAsia="zh-CN"/>
        </w:rPr>
        <w:t>。</w:t>
      </w:r>
    </w:p>
    <w:p w14:paraId="58E173F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总结</w:t>
      </w:r>
      <w:bookmarkEnd w:id="12"/>
    </w:p>
    <w:p w14:paraId="2468DD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知识管理制度》已得到有效执行，知识管理体系初步建成并运转良好，在知识积累、效率提升与文化培育方面取得了阶段性成果。未来，知识管理工作将朝着更高质量、更智能化和更深度融合的方向持续演进，为公司的数智化运营提供坚实的知识支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DE5E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E2DBD"/>
    <w:rsid w:val="0249222A"/>
    <w:rsid w:val="041A1F5F"/>
    <w:rsid w:val="05B747B5"/>
    <w:rsid w:val="0874698D"/>
    <w:rsid w:val="0EE83B52"/>
    <w:rsid w:val="0FD3710F"/>
    <w:rsid w:val="0FE97C61"/>
    <w:rsid w:val="1A6B5E42"/>
    <w:rsid w:val="200C3C23"/>
    <w:rsid w:val="20D109C9"/>
    <w:rsid w:val="215533A8"/>
    <w:rsid w:val="22D60C4D"/>
    <w:rsid w:val="27EA7123"/>
    <w:rsid w:val="28760BC7"/>
    <w:rsid w:val="290A0F1C"/>
    <w:rsid w:val="292024ED"/>
    <w:rsid w:val="2A1D07DB"/>
    <w:rsid w:val="2B732DA8"/>
    <w:rsid w:val="2BE45A54"/>
    <w:rsid w:val="2D140C99"/>
    <w:rsid w:val="31124E12"/>
    <w:rsid w:val="31306605"/>
    <w:rsid w:val="325A7D01"/>
    <w:rsid w:val="32E4002D"/>
    <w:rsid w:val="356E2833"/>
    <w:rsid w:val="38460F2D"/>
    <w:rsid w:val="396401D4"/>
    <w:rsid w:val="3AEE2FBA"/>
    <w:rsid w:val="3B143AB4"/>
    <w:rsid w:val="3D4F6AA6"/>
    <w:rsid w:val="41452699"/>
    <w:rsid w:val="43234C5C"/>
    <w:rsid w:val="43D67F21"/>
    <w:rsid w:val="45465FBE"/>
    <w:rsid w:val="45E43E6E"/>
    <w:rsid w:val="49951CE4"/>
    <w:rsid w:val="49ED7D72"/>
    <w:rsid w:val="49FE1F7F"/>
    <w:rsid w:val="503C19ED"/>
    <w:rsid w:val="50C555A5"/>
    <w:rsid w:val="528256EC"/>
    <w:rsid w:val="59426606"/>
    <w:rsid w:val="5D8A5BAC"/>
    <w:rsid w:val="5DC310BE"/>
    <w:rsid w:val="5E47584B"/>
    <w:rsid w:val="61954B1F"/>
    <w:rsid w:val="620677CB"/>
    <w:rsid w:val="620E1D73"/>
    <w:rsid w:val="65764C68"/>
    <w:rsid w:val="668B2C82"/>
    <w:rsid w:val="680C5410"/>
    <w:rsid w:val="68386205"/>
    <w:rsid w:val="6A5868AB"/>
    <w:rsid w:val="6EAC36D2"/>
    <w:rsid w:val="72EE408F"/>
    <w:rsid w:val="77BA09E4"/>
    <w:rsid w:val="79BF6786"/>
    <w:rsid w:val="7ACD24AF"/>
    <w:rsid w:val="7E636C5E"/>
    <w:rsid w:val="7FC24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知识新增数</c:v>
                </c:pt>
              </c:strCache>
            </c:strRef>
          </c:tx>
          <c:spPr>
            <a:ln w="28575" cap="flat" cmpd="sng" algn="ctr">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extLst>
                <c:ext xmlns:c15="http://schemas.microsoft.com/office/drawing/2012/chart" uri="{02D57815-91ED-43cb-92C2-25804820EDAC}">
                  <c15:fullRef>
                    <c15:sqref>Sheet1!$A$2:$A$5</c15:sqref>
                  </c15:fullRef>
                </c:ext>
              </c:extLst>
              <c:f>Sheet1!$A$2:$A$5</c:f>
              <c:strCache>
                <c:ptCount val="4"/>
                <c:pt idx="0">
                  <c:v>一季度</c:v>
                </c:pt>
                <c:pt idx="1">
                  <c:v>二季度</c:v>
                </c:pt>
                <c:pt idx="2">
                  <c:v>三季度</c:v>
                </c:pt>
                <c:pt idx="3">
                  <c:v>四季度</c:v>
                </c:pt>
              </c:strCache>
            </c:strRef>
          </c:cat>
          <c:val>
            <c:numRef>
              <c:extLst>
                <c:ext xmlns:c15="http://schemas.microsoft.com/office/drawing/2012/chart" uri="{02D57815-91ED-43cb-92C2-25804820EDAC}">
                  <c15:fullRef>
                    <c15:sqref>Sheet1!$B$2:$B$5</c15:sqref>
                  </c15:fullRef>
                </c:ext>
              </c:extLst>
              <c:f>Sheet1!$B$2:$B$5</c:f>
              <c:numCache>
                <c:formatCode>General</c:formatCode>
                <c:ptCount val="4"/>
                <c:pt idx="0">
                  <c:v>15</c:v>
                </c:pt>
                <c:pt idx="1">
                  <c:v>12</c:v>
                </c:pt>
                <c:pt idx="2">
                  <c:v>18</c:v>
                </c:pt>
                <c:pt idx="3">
                  <c:v>15</c:v>
                </c:pt>
              </c:numCache>
            </c:numRef>
          </c:val>
          <c:smooth val="0"/>
        </c:ser>
        <c:dLbls>
          <c:showLegendKey val="0"/>
          <c:showVal val="1"/>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927488720"/>
        <c:axId val="797261006"/>
      </c:lineChart>
      <c:catAx>
        <c:axId val="927488720"/>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t>季度</a:t>
                </a:r>
              </a:p>
            </c:rich>
          </c:tx>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alpha val="2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797261006"/>
        <c:crosses val="autoZero"/>
        <c:auto val="1"/>
        <c:lblAlgn val="ctr"/>
        <c:lblOffset val="100"/>
        <c:noMultiLvlLbl val="0"/>
      </c:catAx>
      <c:valAx>
        <c:axId val="797261006"/>
        <c:scaling>
          <c:orientation val="minMax"/>
          <c:min val="8"/>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rPr>
                    <a:latin typeface="宋体" panose="02010600030101010101" charset="-122"/>
                    <a:ea typeface="宋体" panose="02010600030101010101" charset="-122"/>
                    <a:cs typeface="宋体" panose="02010600030101010101" charset="-122"/>
                    <a:sym typeface="宋体" panose="02010600030101010101" charset="-122"/>
                  </a:rPr>
                  <a:t>新增知识条目（条）</a:t>
                </a:r>
                <a:endParaRPr>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92748872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c083112-9fcc-4850-b79d-4dc89778c573}"/>
      </c:ext>
    </c:extLst>
  </c:chart>
  <c:spPr>
    <a:solidFill>
      <a:schemeClr val="bg1"/>
    </a:solidFill>
    <a:ln w="6350" cap="flat" cmpd="sng" algn="ctr">
      <a:solidFill>
        <a:schemeClr val="tx1">
          <a:lumMod val="50000"/>
          <a:lumOff val="50000"/>
          <a:alpha val="25000"/>
        </a:scheme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2228</Words>
  <Characters>2388</Characters>
  <Lines>0</Lines>
  <Paragraphs>0</Paragraphs>
  <TotalTime>2</TotalTime>
  <ScaleCrop>false</ScaleCrop>
  <LinksUpToDate>false</LinksUpToDate>
  <CharactersWithSpaces>2438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2026-04-24T09:55:44Z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