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3EB1C">
      <w:pPr>
        <w:spacing w:before="156" w:after="156" w:line="240" w:lineRule="auto"/>
        <w:ind w:left="0" w:leftChars="0" w:firstLine="0" w:firstLineChars="0"/>
        <w:jc w:val="both"/>
        <w:rPr>
          <w:rFonts w:hint="eastAsia" w:eastAsia="宋体"/>
          <w:lang w:eastAsia="zh-CN"/>
        </w:rPr>
      </w:pPr>
      <w:bookmarkStart w:id="0" w:name="_Hlk81487209"/>
      <w:bookmarkStart w:id="1" w:name="_Hlk78660541"/>
      <w:bookmarkStart w:id="2" w:name="_Hlk78661458"/>
      <w:r>
        <w:drawing>
          <wp:inline distT="0" distB="0" distL="114300" distR="114300">
            <wp:extent cx="264795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B97C">
      <w:pPr>
        <w:spacing w:before="156" w:after="156" w:line="240" w:lineRule="auto"/>
        <w:ind w:left="0" w:leftChars="0" w:firstLine="0" w:firstLineChars="0"/>
        <w:jc w:val="center"/>
        <w:rPr>
          <w:rFonts w:hint="eastAsia"/>
          <w:b/>
          <w:bCs/>
          <w:sz w:val="52"/>
          <w:szCs w:val="52"/>
        </w:rPr>
      </w:pPr>
    </w:p>
    <w:p w14:paraId="2C5DA4D4">
      <w:pPr>
        <w:spacing w:before="156" w:after="156" w:line="240" w:lineRule="auto"/>
        <w:ind w:left="0" w:leftChars="0" w:firstLine="0" w:firstLineChars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桐乡华数广电网络有限公司</w:t>
      </w:r>
      <w:bookmarkEnd w:id="0"/>
    </w:p>
    <w:p w14:paraId="310009A4">
      <w:pPr>
        <w:spacing w:before="156" w:after="156" w:line="240" w:lineRule="auto"/>
        <w:ind w:left="0" w:leftChars="0" w:firstLine="0" w:firstLineChars="0"/>
        <w:jc w:val="center"/>
        <w:rPr>
          <w:rFonts w:hint="eastAsia"/>
          <w:b/>
          <w:bCs/>
          <w:sz w:val="52"/>
          <w:szCs w:val="52"/>
        </w:rPr>
      </w:pPr>
    </w:p>
    <w:p w14:paraId="2B56F6CD">
      <w:pPr>
        <w:spacing w:before="156" w:after="156" w:line="240" w:lineRule="auto"/>
        <w:ind w:left="0" w:leftChars="0" w:firstLine="0" w:firstLineChars="0"/>
        <w:jc w:val="center"/>
        <w:rPr>
          <w:rFonts w:hint="eastAsia" w:cs="Arial" w:asciiTheme="minorEastAsia" w:hAnsiTheme="minorEastAsia" w:eastAsiaTheme="minorEastAsia"/>
          <w:b/>
          <w:sz w:val="48"/>
          <w:szCs w:val="48"/>
        </w:rPr>
      </w:pPr>
      <w:r>
        <w:rPr>
          <w:rFonts w:hint="eastAsia" w:cs="Arial" w:asciiTheme="minorEastAsia" w:hAnsiTheme="minorEastAsia" w:eastAsiaTheme="minorEastAsia"/>
          <w:b/>
          <w:sz w:val="48"/>
          <w:szCs w:val="48"/>
        </w:rPr>
        <w:t>公安视频监控项目</w:t>
      </w:r>
    </w:p>
    <w:p w14:paraId="45B172C0">
      <w:pPr>
        <w:spacing w:before="156" w:after="156" w:line="240" w:lineRule="auto"/>
        <w:ind w:left="0" w:leftChars="0" w:firstLine="0" w:firstLineChars="0"/>
        <w:jc w:val="center"/>
        <w:rPr>
          <w:rFonts w:cs="Arial" w:asciiTheme="minorEastAsia" w:hAnsiTheme="minorEastAsia" w:eastAsiaTheme="minorEastAsia"/>
          <w:b/>
          <w:sz w:val="48"/>
          <w:szCs w:val="48"/>
        </w:rPr>
      </w:pPr>
      <w:r>
        <w:rPr>
          <w:rFonts w:hint="eastAsia" w:cs="Arial" w:asciiTheme="minorEastAsia" w:hAnsiTheme="minorEastAsia" w:eastAsiaTheme="minorEastAsia"/>
          <w:b/>
          <w:sz w:val="48"/>
          <w:szCs w:val="48"/>
        </w:rPr>
        <w:t>202</w:t>
      </w:r>
      <w:r>
        <w:rPr>
          <w:rFonts w:hint="eastAsia" w:cs="Arial" w:asciiTheme="minorEastAsia" w:hAnsiTheme="minorEastAsia" w:eastAsiaTheme="minorEastAsia"/>
          <w:b/>
          <w:sz w:val="48"/>
          <w:szCs w:val="48"/>
          <w:lang w:val="en-US" w:eastAsia="zh-CN"/>
        </w:rPr>
        <w:t>6</w:t>
      </w:r>
      <w:r>
        <w:rPr>
          <w:rFonts w:hint="eastAsia" w:cs="Arial" w:asciiTheme="minorEastAsia" w:hAnsiTheme="minorEastAsia" w:eastAsiaTheme="minorEastAsia"/>
          <w:b/>
          <w:sz w:val="48"/>
          <w:szCs w:val="48"/>
        </w:rPr>
        <w:t>年</w:t>
      </w:r>
      <w:r>
        <w:rPr>
          <w:rFonts w:hint="eastAsia" w:cs="Arial" w:asciiTheme="minorEastAsia" w:hAnsiTheme="minorEastAsia" w:eastAsiaTheme="minorEastAsia"/>
          <w:b/>
          <w:sz w:val="48"/>
          <w:szCs w:val="48"/>
          <w:lang w:val="en-US" w:eastAsia="zh-CN"/>
        </w:rPr>
        <w:t>3月</w:t>
      </w:r>
      <w:r>
        <w:rPr>
          <w:rFonts w:hint="eastAsia" w:cs="Arial" w:asciiTheme="minorEastAsia" w:hAnsiTheme="minorEastAsia" w:eastAsiaTheme="minorEastAsia"/>
          <w:b/>
          <w:sz w:val="48"/>
          <w:szCs w:val="48"/>
        </w:rPr>
        <w:t>运维服务报告</w:t>
      </w:r>
    </w:p>
    <w:p w14:paraId="2C570805">
      <w:pPr>
        <w:spacing w:before="156" w:after="156"/>
        <w:ind w:firstLine="720"/>
        <w:rPr>
          <w:sz w:val="30"/>
          <w:szCs w:val="30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-2153920</wp:posOffset>
            </wp:positionV>
            <wp:extent cx="7566660" cy="7786370"/>
            <wp:effectExtent l="0" t="0" r="15240" b="508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60000"/>
                    </a:blip>
                    <a:srcRect b="3601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778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1FC231">
      <w:pPr>
        <w:ind w:firstLine="2777" w:firstLineChars="99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文件编号：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TXHS-</w:t>
      </w:r>
      <w:r>
        <w:rPr>
          <w:rFonts w:hint="eastAsia" w:ascii="宋体" w:hAnsi="宋体" w:eastAsia="宋体" w:cs="宋体"/>
          <w:sz w:val="28"/>
          <w:szCs w:val="28"/>
        </w:rPr>
        <w:t>ITSS-0</w:t>
      </w:r>
      <w:r>
        <w:rPr>
          <w:rFonts w:hint="eastAsia" w:cs="宋体"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sz w:val="28"/>
          <w:szCs w:val="28"/>
        </w:rPr>
        <w:t>-0</w:t>
      </w:r>
      <w:r>
        <w:rPr>
          <w:rFonts w:hint="eastAsia" w:cs="宋体"/>
          <w:sz w:val="28"/>
          <w:szCs w:val="28"/>
          <w:lang w:val="en-US" w:eastAsia="zh-CN"/>
        </w:rPr>
        <w:t>5</w:t>
      </w:r>
    </w:p>
    <w:p w14:paraId="00B32625">
      <w:pPr>
        <w:ind w:firstLine="2777" w:firstLineChars="99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编 制： 程方</w:t>
      </w:r>
    </w:p>
    <w:p w14:paraId="1C5D5680">
      <w:pPr>
        <w:ind w:firstLine="2777" w:firstLineChars="992"/>
        <w:rPr>
          <w:rFonts w:hint="eastAsia" w:ascii="宋体" w:hAnsi="宋体" w:eastAsia="宋体" w:cs="宋体"/>
          <w:sz w:val="28"/>
          <w:szCs w:val="28"/>
        </w:rPr>
      </w:pPr>
      <w:bookmarkStart w:id="3" w:name="_Hlk81509119"/>
      <w:r>
        <w:rPr>
          <w:rFonts w:hint="eastAsia" w:ascii="宋体" w:hAnsi="宋体" w:eastAsia="宋体" w:cs="宋体"/>
          <w:sz w:val="28"/>
          <w:szCs w:val="28"/>
        </w:rPr>
        <w:t>审 核： 吴亚红</w:t>
      </w:r>
    </w:p>
    <w:p w14:paraId="2E09BB3E">
      <w:pPr>
        <w:ind w:firstLine="2777" w:firstLineChars="99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批 准： 吴亚红</w:t>
      </w:r>
    </w:p>
    <w:bookmarkEnd w:id="3"/>
    <w:p w14:paraId="5F80A881">
      <w:pPr>
        <w:ind w:firstLine="2777" w:firstLineChars="992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日 期： 202</w:t>
      </w:r>
      <w:r>
        <w:rPr>
          <w:rFonts w:hint="eastAsia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cs="宋体"/>
          <w:sz w:val="28"/>
          <w:szCs w:val="28"/>
          <w:lang w:val="en-US" w:eastAsia="zh-CN"/>
        </w:rPr>
        <w:t>30</w:t>
      </w:r>
      <w:r>
        <w:rPr>
          <w:rFonts w:hint="eastAsia" w:ascii="宋体" w:hAnsi="宋体" w:eastAsia="宋体" w:cs="宋体"/>
          <w:sz w:val="28"/>
          <w:szCs w:val="28"/>
        </w:rPr>
        <w:t>日</w:t>
      </w:r>
      <w:bookmarkEnd w:id="1"/>
      <w:bookmarkEnd w:id="2"/>
      <w:bookmarkStart w:id="4" w:name="_Hlk78660431"/>
    </w:p>
    <w:p w14:paraId="27611322">
      <w:pPr>
        <w:ind w:firstLine="3498" w:firstLineChars="1166"/>
        <w:rPr>
          <w:rFonts w:hint="eastAsia" w:ascii="微软雅黑" w:hAnsi="微软雅黑"/>
          <w:sz w:val="30"/>
          <w:szCs w:val="30"/>
        </w:rPr>
      </w:pPr>
    </w:p>
    <w:p w14:paraId="366BF0A9">
      <w:pPr>
        <w:ind w:firstLine="3498" w:firstLineChars="1166"/>
        <w:rPr>
          <w:rFonts w:ascii="微软雅黑" w:hAnsi="微软雅黑"/>
          <w:sz w:val="30"/>
          <w:szCs w:val="30"/>
        </w:rPr>
      </w:pPr>
      <w:r>
        <w:rPr>
          <w:rFonts w:hint="eastAsia" w:ascii="微软雅黑" w:hAnsi="微软雅黑"/>
          <w:sz w:val="30"/>
          <w:szCs w:val="30"/>
        </w:rPr>
        <w:t>变更履历</w:t>
      </w:r>
    </w:p>
    <w:tbl>
      <w:tblPr>
        <w:tblStyle w:val="1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1"/>
        <w:gridCol w:w="1423"/>
      </w:tblGrid>
      <w:tr w14:paraId="236C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3" w:type="pct"/>
            <w:shd w:val="clear" w:color="auto" w:fill="D0CECE"/>
            <w:vAlign w:val="center"/>
          </w:tcPr>
          <w:p w14:paraId="1DEA4F17">
            <w:pPr>
              <w:ind w:firstLine="0" w:firstLineChars="0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833" w:type="pct"/>
            <w:shd w:val="clear" w:color="auto" w:fill="D0CECE"/>
            <w:vAlign w:val="center"/>
          </w:tcPr>
          <w:p w14:paraId="337D1B97">
            <w:pPr>
              <w:ind w:firstLine="0" w:firstLineChars="0"/>
              <w:jc w:val="center"/>
            </w:pPr>
            <w:r>
              <w:rPr>
                <w:rFonts w:hint="eastAsia"/>
              </w:rPr>
              <w:t>变更时间</w:t>
            </w:r>
          </w:p>
        </w:tc>
        <w:tc>
          <w:tcPr>
            <w:tcW w:w="833" w:type="pct"/>
            <w:shd w:val="clear" w:color="auto" w:fill="D0CECE"/>
            <w:vAlign w:val="center"/>
          </w:tcPr>
          <w:p w14:paraId="5899AC5D">
            <w:pPr>
              <w:ind w:firstLine="0" w:firstLineChars="0"/>
              <w:jc w:val="center"/>
            </w:pPr>
            <w:r>
              <w:rPr>
                <w:rFonts w:hint="eastAsia"/>
              </w:rPr>
              <w:t>变更内容</w:t>
            </w:r>
          </w:p>
        </w:tc>
        <w:tc>
          <w:tcPr>
            <w:tcW w:w="833" w:type="pct"/>
            <w:shd w:val="clear" w:color="auto" w:fill="D0CECE"/>
            <w:vAlign w:val="center"/>
          </w:tcPr>
          <w:p w14:paraId="41C04103">
            <w:pPr>
              <w:ind w:firstLine="0" w:firstLineChars="0"/>
              <w:jc w:val="center"/>
            </w:pPr>
            <w:r>
              <w:rPr>
                <w:rFonts w:hint="eastAsia"/>
              </w:rPr>
              <w:t>编制人</w:t>
            </w:r>
          </w:p>
        </w:tc>
        <w:tc>
          <w:tcPr>
            <w:tcW w:w="833" w:type="pct"/>
            <w:shd w:val="clear" w:color="auto" w:fill="D0CECE"/>
            <w:vAlign w:val="center"/>
          </w:tcPr>
          <w:p w14:paraId="5BC41690">
            <w:pPr>
              <w:ind w:firstLine="0" w:firstLineChars="0"/>
              <w:jc w:val="center"/>
            </w:pPr>
            <w:r>
              <w:rPr>
                <w:rFonts w:hint="eastAsia"/>
              </w:rPr>
              <w:t>审核人</w:t>
            </w:r>
          </w:p>
        </w:tc>
        <w:tc>
          <w:tcPr>
            <w:tcW w:w="834" w:type="pct"/>
            <w:shd w:val="clear" w:color="auto" w:fill="D0CECE"/>
            <w:vAlign w:val="center"/>
          </w:tcPr>
          <w:p w14:paraId="173F151D">
            <w:pPr>
              <w:ind w:firstLine="0" w:firstLineChars="0"/>
              <w:jc w:val="center"/>
            </w:pPr>
            <w:r>
              <w:rPr>
                <w:rFonts w:hint="eastAsia"/>
              </w:rPr>
              <w:t>批准人</w:t>
            </w:r>
          </w:p>
        </w:tc>
      </w:tr>
      <w:tr w14:paraId="1652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833" w:type="pct"/>
            <w:shd w:val="clear" w:color="auto" w:fill="auto"/>
            <w:vAlign w:val="center"/>
          </w:tcPr>
          <w:p w14:paraId="2AC797AC">
            <w:pPr>
              <w:ind w:firstLine="0" w:firstLineChars="0"/>
              <w:jc w:val="center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1B1910F5"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  <w:lang w:val="en-US" w:eastAsia="zh-CN"/>
              </w:rPr>
              <w:t>2</w:t>
            </w:r>
            <w:r>
              <w:t>.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5418A788">
            <w:pPr>
              <w:ind w:firstLine="0" w:firstLineChars="0"/>
              <w:jc w:val="center"/>
            </w:pPr>
            <w:r>
              <w:rPr>
                <w:rFonts w:hint="eastAsia"/>
              </w:rPr>
              <w:t>首次发行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7844771D">
            <w:pPr>
              <w:ind w:firstLine="0" w:firstLineChars="0"/>
              <w:jc w:val="center"/>
            </w:pPr>
            <w:r>
              <w:rPr>
                <w:rFonts w:hint="eastAsia"/>
              </w:rPr>
              <w:t>程方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025A23BD">
            <w:pPr>
              <w:ind w:firstLine="0" w:firstLineChars="0"/>
              <w:jc w:val="center"/>
            </w:pPr>
            <w:r>
              <w:rPr>
                <w:rFonts w:hint="eastAsia"/>
              </w:rPr>
              <w:t>吴亚红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2302AF87">
            <w:pPr>
              <w:ind w:firstLine="0" w:firstLineChars="0"/>
              <w:jc w:val="center"/>
            </w:pPr>
            <w:r>
              <w:rPr>
                <w:rFonts w:hint="eastAsia"/>
              </w:rPr>
              <w:t>陈业军</w:t>
            </w:r>
          </w:p>
        </w:tc>
      </w:tr>
      <w:tr w14:paraId="6DBF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833" w:type="pct"/>
            <w:shd w:val="clear" w:color="auto" w:fill="auto"/>
            <w:vAlign w:val="center"/>
          </w:tcPr>
          <w:p w14:paraId="7A357B78"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V1.1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61F95E66"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2025.4.5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235558F3"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6AD42434">
            <w:pPr>
              <w:ind w:firstLine="0" w:firstLineChars="0"/>
              <w:jc w:val="center"/>
            </w:pPr>
            <w:r>
              <w:rPr>
                <w:rFonts w:hint="eastAsia"/>
              </w:rPr>
              <w:t>程方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1038100">
            <w:pPr>
              <w:ind w:firstLine="0" w:firstLineChars="0"/>
              <w:jc w:val="center"/>
            </w:pPr>
            <w:r>
              <w:rPr>
                <w:rFonts w:hint="eastAsia"/>
              </w:rPr>
              <w:t>吴亚红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19B26799">
            <w:pPr>
              <w:ind w:firstLine="0" w:firstLineChars="0"/>
              <w:jc w:val="center"/>
            </w:pPr>
            <w:r>
              <w:rPr>
                <w:rFonts w:hint="eastAsia"/>
              </w:rPr>
              <w:t>吴亚红</w:t>
            </w:r>
          </w:p>
        </w:tc>
      </w:tr>
      <w:tr w14:paraId="387A4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1421" w:type="dxa"/>
            <w:shd w:val="clear" w:color="auto" w:fill="auto"/>
            <w:vAlign w:val="center"/>
          </w:tcPr>
          <w:p w14:paraId="4D594805">
            <w:pPr>
              <w:ind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V1.2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66BD6DB">
            <w:pPr>
              <w:ind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2026.3.30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585E5C3A">
            <w:pPr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修订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E186264">
            <w:pPr>
              <w:ind w:firstLine="0" w:firstLineChars="0"/>
              <w:jc w:val="center"/>
            </w:pPr>
            <w:r>
              <w:rPr>
                <w:rFonts w:hint="eastAsia"/>
              </w:rPr>
              <w:t>程方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858B347">
            <w:pPr>
              <w:ind w:firstLine="0" w:firstLineChars="0"/>
              <w:jc w:val="center"/>
            </w:pPr>
            <w:r>
              <w:rPr>
                <w:rFonts w:hint="eastAsia"/>
              </w:rPr>
              <w:t>吴亚红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56D290D8">
            <w:pPr>
              <w:ind w:firstLine="0" w:firstLineChars="0"/>
              <w:jc w:val="center"/>
            </w:pPr>
            <w:r>
              <w:rPr>
                <w:rFonts w:hint="eastAsia"/>
              </w:rPr>
              <w:t>吴亚红</w:t>
            </w:r>
          </w:p>
        </w:tc>
      </w:tr>
      <w:tr w14:paraId="33303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833" w:type="pct"/>
            <w:shd w:val="clear" w:color="auto" w:fill="auto"/>
            <w:vAlign w:val="center"/>
          </w:tcPr>
          <w:p w14:paraId="667004CE"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72AD3494"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40FAA6A3"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081C3DEF">
            <w:pPr>
              <w:ind w:firstLine="0" w:firstLineChars="0"/>
              <w:jc w:val="center"/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3A7BB31">
            <w:pPr>
              <w:ind w:firstLine="0" w:firstLineChars="0"/>
              <w:jc w:val="center"/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024FA9C7">
            <w:pPr>
              <w:ind w:firstLine="0" w:firstLineChars="0"/>
              <w:jc w:val="center"/>
            </w:pPr>
          </w:p>
        </w:tc>
      </w:tr>
      <w:bookmarkEnd w:id="4"/>
    </w:tbl>
    <w:p w14:paraId="152789B2">
      <w:pPr>
        <w:spacing w:before="156" w:after="156"/>
        <w:ind w:firstLine="480"/>
      </w:pPr>
    </w:p>
    <w:p w14:paraId="37AE9C12">
      <w:pPr>
        <w:pStyle w:val="29"/>
        <w:spacing w:after="326"/>
        <w:jc w:val="center"/>
      </w:pPr>
      <w:r>
        <w:rPr>
          <w:lang w:val="zh-CN"/>
        </w:rPr>
        <w:t>目录</w:t>
      </w:r>
    </w:p>
    <w:p w14:paraId="76816C8E">
      <w:pPr>
        <w:pStyle w:val="13"/>
        <w:tabs>
          <w:tab w:val="right" w:leader="dot" w:pos="8312"/>
        </w:tabs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TOC \o "1-3" \h \z \u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HYPERLINK \l _Toc23687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. 执行摘要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_Toc23687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</w:p>
    <w:p w14:paraId="0EE3F714">
      <w:pPr>
        <w:pStyle w:val="13"/>
        <w:tabs>
          <w:tab w:val="right" w:leader="dot" w:pos="8312"/>
        </w:tabs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_Toc13462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关键绩效指标（KPI）达成情况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_Toc13462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6BB03200">
      <w:pPr>
        <w:pStyle w:val="13"/>
        <w:tabs>
          <w:tab w:val="right" w:leader="dot" w:pos="8312"/>
        </w:tabs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_Toc26433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运维工作详情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_Toc26433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378831D7">
      <w:pPr>
        <w:pStyle w:val="1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_Toc30441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3.1 设备总量与在线率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_Toc30441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39B2E74C">
      <w:pPr>
        <w:pStyle w:val="1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_Toc2154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3.2 故障类型分析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_Toc2154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4D0525FB">
      <w:pPr>
        <w:pStyle w:val="1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_Toc11304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3.3 典型故障处理记录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_Toc11304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4A42E9B4">
      <w:pPr>
        <w:pStyle w:val="13"/>
        <w:tabs>
          <w:tab w:val="right" w:leader="dot" w:pos="8312"/>
        </w:tabs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_Toc11038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改进措施与效果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_Toc11038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6423EECE">
      <w:pPr>
        <w:pStyle w:val="13"/>
        <w:tabs>
          <w:tab w:val="right" w:leader="dot" w:pos="8312"/>
        </w:tabs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_Toc22235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5. 交付管理指标达成情况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_Toc22235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5486DD0A">
      <w:pPr>
        <w:pStyle w:val="13"/>
        <w:tabs>
          <w:tab w:val="right" w:leader="dot" w:pos="8312"/>
        </w:tabs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_Toc25654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6. 下月工作计划（2026年4月）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_Toc25654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67BD8E12">
      <w:pPr>
        <w:pStyle w:val="13"/>
        <w:tabs>
          <w:tab w:val="right" w:leader="dot" w:pos="8312"/>
        </w:tabs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instrText xml:space="preserve"> HYPERLINK \l _Toc11042 </w:instrTex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7. 结论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PAGEREF _Toc11042 \h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</w:p>
    <w:p w14:paraId="7DD59643">
      <w:pPr>
        <w:adjustRightInd/>
        <w:ind w:firstLine="422"/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lang w:val="zh-CN"/>
        </w:rPr>
        <w:fldChar w:fldCharType="end"/>
      </w:r>
      <w:bookmarkStart w:id="5" w:name="_Toc431290942"/>
      <w:bookmarkStart w:id="6" w:name="_Toc431290915"/>
    </w:p>
    <w:p w14:paraId="6C48EF65">
      <w:pPr>
        <w:adjustRightInd/>
        <w:ind w:firstLine="422"/>
        <w:rPr>
          <w:rFonts w:hint="eastAsia" w:asciiTheme="minorEastAsia" w:hAnsiTheme="minorEastAsia" w:eastAsiaTheme="minorEastAsia" w:cstheme="minorEastAsia"/>
          <w:sz w:val="28"/>
          <w:szCs w:val="28"/>
          <w:lang w:bidi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bidi="en-US"/>
        </w:rPr>
        <w:br w:type="page"/>
      </w:r>
      <w:bookmarkStart w:id="17" w:name="_GoBack"/>
      <w:bookmarkEnd w:id="17"/>
    </w:p>
    <w:bookmarkEnd w:id="5"/>
    <w:bookmarkEnd w:id="6"/>
    <w:p w14:paraId="65E13C7C">
      <w:pPr>
        <w:pStyle w:val="3"/>
        <w:bidi w:val="0"/>
      </w:pPr>
      <w:bookmarkStart w:id="7" w:name="_Toc23687"/>
      <w:r>
        <w:rPr>
          <w:rFonts w:hint="default"/>
        </w:rPr>
        <w:t>1. . 执行摘要</w:t>
      </w:r>
      <w:bookmarkEnd w:id="7"/>
    </w:p>
    <w:p w14:paraId="18133322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2026年3月，公安视频监控项目整体运行平稳。设备总量6,757台，无新增设备。核心指标达成情况如下：</w:t>
      </w:r>
    </w:p>
    <w:p w14:paraId="0BC35C07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月平均在线率：99.81%（≥99%要求，达标）</w:t>
      </w:r>
    </w:p>
    <w:p w14:paraId="7078C730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故障响应及时率：100%</w:t>
      </w:r>
    </w:p>
    <w:p w14:paraId="0F8529F3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月超时量：0次（上月为0次）</w:t>
      </w:r>
    </w:p>
    <w:p w14:paraId="439DCF62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本月无重大安全事故，未发生客户投诉</w:t>
      </w:r>
    </w:p>
    <w:p w14:paraId="2CC9DA46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SLA达成率：100%</w:t>
      </w:r>
    </w:p>
    <w:p w14:paraId="3879E04A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服务报告按时提交：是</w:t>
      </w:r>
    </w:p>
    <w:p w14:paraId="2E9A6E57">
      <w:pPr>
        <w:bidi w:val="0"/>
        <w:rPr>
          <w:rFonts w:hint="default"/>
        </w:rPr>
      </w:pPr>
      <w:r>
        <w:rPr>
          <w:rFonts w:hint="default"/>
        </w:rPr>
        <w:t>本月故障总数为298次（不含停电），主要故障类型为光缆故障（98次）、电源线问题（42次）、设备重启（31次）。濮院、崇福区域因春季施工导致光缆挖断较多，已及时抢修。</w:t>
      </w:r>
    </w:p>
    <w:p w14:paraId="44902FB6">
      <w:pPr>
        <w:pStyle w:val="3"/>
        <w:bidi w:val="0"/>
        <w:rPr>
          <w:rFonts w:hint="default"/>
        </w:rPr>
      </w:pPr>
      <w:bookmarkStart w:id="8" w:name="_Toc13462"/>
      <w:r>
        <w:rPr>
          <w:rFonts w:hint="default"/>
        </w:rPr>
        <w:t>2. 关键绩效指标（KPI）达成情况</w:t>
      </w:r>
      <w:bookmarkEnd w:id="8"/>
    </w:p>
    <w:tbl>
      <w:tblPr>
        <w:tblStyle w:val="17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2703"/>
        <w:gridCol w:w="1408"/>
        <w:gridCol w:w="1717"/>
        <w:gridCol w:w="1472"/>
      </w:tblGrid>
      <w:tr w14:paraId="7A6D6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48021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default"/>
                <w:b/>
                <w:lang w:val="en-US" w:eastAsia="zh-CN"/>
              </w:rPr>
              <w:t>指标类别</w:t>
            </w:r>
          </w:p>
        </w:tc>
        <w:tc>
          <w:tcPr>
            <w:tcW w:w="27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038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指标名称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52A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目标值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591A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本月实际值</w:t>
            </w:r>
          </w:p>
        </w:tc>
        <w:tc>
          <w:tcPr>
            <w:tcW w:w="14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934D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达成情况</w:t>
            </w:r>
          </w:p>
        </w:tc>
      </w:tr>
      <w:tr w14:paraId="4762F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C44FF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default"/>
                <w:lang w:val="en-US" w:eastAsia="zh-CN"/>
              </w:rPr>
              <w:t>服务交付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F69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SLA达成率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2B16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4AC1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9382A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  <w:tr w14:paraId="47B8E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A8212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服务交付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C208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服务报告及时提交率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596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C1B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19022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  <w:tr w14:paraId="57317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EEAD8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19D9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一次事件请求解决率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FF3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≥95%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885F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98%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1025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  <w:tr w14:paraId="5F2A8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7077E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17AC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事件平均响应时间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2885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≤2小时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E1DC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1.1小时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6111B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  <w:tr w14:paraId="05C41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27ACE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880A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问题解决率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AEA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≥90%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7EF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95%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7DDD0D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  <w:tr w14:paraId="159C3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E0885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C8AA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变更成功率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CEE0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≥95%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501A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D01E5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  <w:tr w14:paraId="222BE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DC355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513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配置准确率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933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≥97%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C98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E1504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  <w:tr w14:paraId="410AE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46F42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689A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信息安全事件数量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855D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E66C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5AF04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达成</w:t>
            </w:r>
          </w:p>
        </w:tc>
      </w:tr>
    </w:tbl>
    <w:p w14:paraId="116C1DD1">
      <w:pPr>
        <w:bidi w:val="0"/>
        <w:rPr>
          <w:rFonts w:hint="default"/>
        </w:rPr>
      </w:pPr>
    </w:p>
    <w:p w14:paraId="1D919AB1">
      <w:pPr>
        <w:pStyle w:val="3"/>
        <w:bidi w:val="0"/>
        <w:rPr>
          <w:rFonts w:hint="default"/>
        </w:rPr>
      </w:pPr>
      <w:bookmarkStart w:id="9" w:name="_Toc26433"/>
      <w:r>
        <w:rPr>
          <w:rFonts w:hint="default"/>
        </w:rPr>
        <w:t>3. 运维工作详情</w:t>
      </w:r>
      <w:bookmarkEnd w:id="9"/>
    </w:p>
    <w:p w14:paraId="4B7AB5C8">
      <w:pPr>
        <w:pStyle w:val="4"/>
        <w:bidi w:val="0"/>
        <w:rPr>
          <w:rFonts w:hint="default"/>
        </w:rPr>
      </w:pPr>
      <w:bookmarkStart w:id="10" w:name="_Toc30441"/>
      <w:r>
        <w:rPr>
          <w:rFonts w:hint="default"/>
        </w:rPr>
        <w:t>3.1 设备总量与在线率</w:t>
      </w:r>
      <w:bookmarkEnd w:id="10"/>
    </w:p>
    <w:tbl>
      <w:tblPr>
        <w:tblStyle w:val="17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1598"/>
        <w:gridCol w:w="1598"/>
        <w:gridCol w:w="1598"/>
        <w:gridCol w:w="1599"/>
      </w:tblGrid>
      <w:tr w14:paraId="4A5DC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3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A5554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区域</w:t>
            </w:r>
          </w:p>
        </w:tc>
        <w:tc>
          <w:tcPr>
            <w:tcW w:w="15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E542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设备总量</w:t>
            </w:r>
          </w:p>
        </w:tc>
        <w:tc>
          <w:tcPr>
            <w:tcW w:w="15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5BC8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故障合计</w:t>
            </w:r>
          </w:p>
        </w:tc>
        <w:tc>
          <w:tcPr>
            <w:tcW w:w="15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08A1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月超时量</w:t>
            </w:r>
          </w:p>
        </w:tc>
        <w:tc>
          <w:tcPr>
            <w:tcW w:w="159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E0F1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月在线率</w:t>
            </w:r>
          </w:p>
        </w:tc>
      </w:tr>
      <w:tr w14:paraId="549CA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E0706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经开区（高桥）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E6D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563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96A2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52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E171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47196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99.70%</w:t>
            </w:r>
          </w:p>
        </w:tc>
      </w:tr>
      <w:tr w14:paraId="57173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A2B4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梧桐一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26D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461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75C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45A2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3FE0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99.93%</w:t>
            </w:r>
          </w:p>
        </w:tc>
      </w:tr>
      <w:tr w14:paraId="18CD2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3D60F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梧桐二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5844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637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4A5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3C21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59986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99.81%</w:t>
            </w:r>
          </w:p>
        </w:tc>
      </w:tr>
      <w:tr w14:paraId="7D8F6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7F937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凤鸣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2BC3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414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BC9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48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90A2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866B7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99.63%</w:t>
            </w:r>
          </w:p>
        </w:tc>
      </w:tr>
      <w:tr w14:paraId="38840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FF0B4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濮院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A13A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1,574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5AE5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112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856E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A6D9E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99.77%</w:t>
            </w:r>
          </w:p>
        </w:tc>
      </w:tr>
      <w:tr w14:paraId="62CD0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57B0D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屠甸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B34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318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7269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AEFA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E073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99.85%</w:t>
            </w:r>
          </w:p>
        </w:tc>
      </w:tr>
      <w:tr w14:paraId="7E23D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EBF4C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崇福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1562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830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DC28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3B98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ADB65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99.85%</w:t>
            </w:r>
          </w:p>
        </w:tc>
      </w:tr>
      <w:tr w14:paraId="61C3F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2B942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洲泉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757B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282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9ADA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279D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57F92C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99.79%</w:t>
            </w:r>
          </w:p>
        </w:tc>
      </w:tr>
      <w:tr w14:paraId="069FC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384D2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大麻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E9DB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308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0825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42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20F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521DF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99.56%</w:t>
            </w:r>
          </w:p>
        </w:tc>
      </w:tr>
      <w:tr w14:paraId="63C0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48F40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河山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700B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282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E8DC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90C4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A7222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99.81%</w:t>
            </w:r>
          </w:p>
        </w:tc>
      </w:tr>
      <w:tr w14:paraId="7EB2C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A6032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乌镇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0B84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882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FB53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72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74A4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276FB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99.74%</w:t>
            </w:r>
          </w:p>
        </w:tc>
      </w:tr>
      <w:tr w14:paraId="70AF8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6CE9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石门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2526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206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39B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A57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2AF5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99.84%</w:t>
            </w:r>
          </w:p>
        </w:tc>
      </w:tr>
      <w:tr w14:paraId="51FDB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A1334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合计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A565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6,757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D273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473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4390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0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AD887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99.81%</w:t>
            </w:r>
          </w:p>
        </w:tc>
      </w:tr>
    </w:tbl>
    <w:p w14:paraId="06DD1176">
      <w:pPr>
        <w:bidi w:val="0"/>
      </w:pPr>
      <w:r>
        <w:rPr>
          <w:rFonts w:hint="default"/>
        </w:rPr>
        <w:t>说明：故障合计包含所有故障类型，在线率 =（设备总量 - 故障合计/31）/ 设备总量。</w:t>
      </w:r>
    </w:p>
    <w:p w14:paraId="2BF794B1">
      <w:pPr>
        <w:pStyle w:val="4"/>
        <w:bidi w:val="0"/>
        <w:rPr>
          <w:rFonts w:hint="default"/>
        </w:rPr>
      </w:pPr>
      <w:bookmarkStart w:id="11" w:name="_Toc2154"/>
      <w:r>
        <w:rPr>
          <w:rFonts w:hint="default"/>
        </w:rPr>
        <w:t>3.2 故障类型分析</w:t>
      </w:r>
      <w:bookmarkEnd w:id="11"/>
    </w:p>
    <w:p w14:paraId="4204EB6F">
      <w:pPr>
        <w:bidi w:val="0"/>
        <w:rPr>
          <w:rFonts w:hint="default"/>
        </w:rPr>
      </w:pPr>
      <w:r>
        <w:rPr>
          <w:rFonts w:hint="default"/>
        </w:rPr>
        <w:t>本月共发生故障473次，其中停电175次，其他故障298次。故障类型分布如下：</w:t>
      </w:r>
    </w:p>
    <w:tbl>
      <w:tblPr>
        <w:tblStyle w:val="17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4"/>
        <w:gridCol w:w="948"/>
        <w:gridCol w:w="2367"/>
        <w:gridCol w:w="3079"/>
      </w:tblGrid>
      <w:tr w14:paraId="630BF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3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A22D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故障类型</w:t>
            </w:r>
          </w:p>
        </w:tc>
        <w:tc>
          <w:tcPr>
            <w:tcW w:w="9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E2BF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数量</w:t>
            </w:r>
          </w:p>
        </w:tc>
        <w:tc>
          <w:tcPr>
            <w:tcW w:w="23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6DBE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占比（不含停电）</w:t>
            </w:r>
          </w:p>
        </w:tc>
        <w:tc>
          <w:tcPr>
            <w:tcW w:w="30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1551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主要表现</w:t>
            </w:r>
          </w:p>
        </w:tc>
      </w:tr>
      <w:tr w14:paraId="6CC39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0D25D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光缆故障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D5E9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98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98EE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32.9%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C253B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施工挖断、拆迁剪缆、鼠咬</w:t>
            </w:r>
          </w:p>
        </w:tc>
      </w:tr>
      <w:tr w14:paraId="12D7A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69CE5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其他（含未分类）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CEE6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85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9CE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28.5%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3E92C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瞬时离线、平台问题</w:t>
            </w:r>
          </w:p>
        </w:tc>
      </w:tr>
      <w:tr w14:paraId="5185E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0C65A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电源线问题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B9D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42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A571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14.1%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84BD1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线路老化、接头松动</w:t>
            </w:r>
          </w:p>
        </w:tc>
      </w:tr>
      <w:tr w14:paraId="4BC3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F0373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设备重启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415E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732B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10.4%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66AF0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设备死锁、远程重启恢复</w:t>
            </w:r>
          </w:p>
        </w:tc>
      </w:tr>
      <w:tr w14:paraId="4E09A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759AD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ONU故障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A21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C9D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6.0%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06F4E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光功率低、设备掉电</w:t>
            </w:r>
          </w:p>
        </w:tc>
      </w:tr>
      <w:tr w14:paraId="5FFC5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86E1C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相机故障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197B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8C10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5.0%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83EF5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硬件老化、雷击损坏</w:t>
            </w:r>
          </w:p>
        </w:tc>
      </w:tr>
      <w:tr w14:paraId="7C57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14D40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水晶头/网线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732E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C1CA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3.0%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24D2E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接触不良</w:t>
            </w:r>
          </w:p>
        </w:tc>
      </w:tr>
    </w:tbl>
    <w:p w14:paraId="4BBD0CB0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主要发现：</w:t>
      </w:r>
    </w:p>
    <w:p w14:paraId="35818F33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光缆故障仍为第一大故障类型，集中在濮院（市场改造）、崇福（道路施工）区域。</w:t>
      </w:r>
    </w:p>
    <w:p w14:paraId="66BB24D2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停电故障175次，较2月（124次）有所增加，与春季市政施工增多有关。</w:t>
      </w:r>
    </w:p>
    <w:p w14:paraId="31360B9F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无超时工单，响应效率维持良好。</w:t>
      </w:r>
    </w:p>
    <w:p w14:paraId="1B656C61">
      <w:pPr>
        <w:pStyle w:val="4"/>
        <w:bidi w:val="0"/>
        <w:rPr>
          <w:rFonts w:hint="default"/>
        </w:rPr>
      </w:pPr>
      <w:bookmarkStart w:id="12" w:name="_Toc11304"/>
      <w:r>
        <w:rPr>
          <w:rFonts w:hint="default"/>
        </w:rPr>
        <w:t>3.3 典型故障处理记录</w:t>
      </w:r>
      <w:bookmarkEnd w:id="12"/>
    </w:p>
    <w:tbl>
      <w:tblPr>
        <w:tblStyle w:val="17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7"/>
        <w:gridCol w:w="852"/>
        <w:gridCol w:w="2704"/>
        <w:gridCol w:w="1986"/>
        <w:gridCol w:w="1809"/>
      </w:tblGrid>
      <w:tr w14:paraId="68C54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ADEBD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日期</w:t>
            </w:r>
          </w:p>
        </w:tc>
        <w:tc>
          <w:tcPr>
            <w:tcW w:w="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B830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中心站</w:t>
            </w:r>
          </w:p>
        </w:tc>
        <w:tc>
          <w:tcPr>
            <w:tcW w:w="27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3552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故障描述</w:t>
            </w:r>
          </w:p>
        </w:tc>
        <w:tc>
          <w:tcPr>
            <w:tcW w:w="19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3D9F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处理措施</w:t>
            </w:r>
          </w:p>
        </w:tc>
        <w:tc>
          <w:tcPr>
            <w:tcW w:w="18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DA62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修复用时</w:t>
            </w:r>
          </w:p>
        </w:tc>
      </w:tr>
      <w:tr w14:paraId="51D72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B4375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3月5日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AEC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濮院</w:t>
            </w:r>
          </w:p>
        </w:tc>
        <w:tc>
          <w:tcPr>
            <w:tcW w:w="27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25B7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永越村光改线路被剪，多台摄像机离线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7C55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临时布放光缆，恢复上线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D05B8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24小时（已签离线说明表）</w:t>
            </w:r>
          </w:p>
        </w:tc>
      </w:tr>
      <w:tr w14:paraId="559D8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49421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3月12日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ED2F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大麻</w:t>
            </w:r>
          </w:p>
        </w:tc>
        <w:tc>
          <w:tcPr>
            <w:tcW w:w="27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EE3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西南村光缆断，多台摄像机离线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8815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光缆熔接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4D08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18小时</w:t>
            </w:r>
          </w:p>
        </w:tc>
      </w:tr>
      <w:tr w14:paraId="4F4C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CD9A5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3月21日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716E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乌镇</w:t>
            </w:r>
          </w:p>
        </w:tc>
        <w:tc>
          <w:tcPr>
            <w:tcW w:w="27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490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龙翔区域光缆割接，多台摄像机离线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3B1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光缆熔接恢复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4E597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当天恢复</w:t>
            </w:r>
          </w:p>
        </w:tc>
      </w:tr>
      <w:tr w14:paraId="355BD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11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2EC6D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3月28日</w:t>
            </w:r>
          </w:p>
        </w:tc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5EDF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梧桐二</w:t>
            </w:r>
          </w:p>
        </w:tc>
        <w:tc>
          <w:tcPr>
            <w:tcW w:w="2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6108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某点位电源适配器雷击损坏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42E5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更换电源适配器</w:t>
            </w:r>
          </w:p>
        </w:tc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F890F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2小时</w:t>
            </w:r>
          </w:p>
        </w:tc>
      </w:tr>
    </w:tbl>
    <w:p w14:paraId="7208D386">
      <w:pPr>
        <w:bidi w:val="0"/>
        <w:rPr>
          <w:rFonts w:hint="default"/>
        </w:rPr>
      </w:pPr>
    </w:p>
    <w:p w14:paraId="567A905B">
      <w:pPr>
        <w:pStyle w:val="3"/>
        <w:bidi w:val="0"/>
        <w:rPr>
          <w:rFonts w:hint="default"/>
        </w:rPr>
      </w:pPr>
      <w:bookmarkStart w:id="13" w:name="_Toc11038"/>
      <w:r>
        <w:rPr>
          <w:rFonts w:hint="default"/>
        </w:rPr>
        <w:t>4. 改进措施与效果</w:t>
      </w:r>
      <w:bookmarkEnd w:id="13"/>
    </w:p>
    <w:tbl>
      <w:tblPr>
        <w:tblStyle w:val="17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4835"/>
        <w:gridCol w:w="2244"/>
      </w:tblGrid>
      <w:tr w14:paraId="73EF5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0CE43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问题</w:t>
            </w:r>
          </w:p>
        </w:tc>
        <w:tc>
          <w:tcPr>
            <w:tcW w:w="48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CECA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改进措施</w:t>
            </w:r>
          </w:p>
        </w:tc>
        <w:tc>
          <w:tcPr>
            <w:tcW w:w="22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847B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本月效果</w:t>
            </w:r>
          </w:p>
        </w:tc>
      </w:tr>
      <w:tr w14:paraId="64FD2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F0F9A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光缆施工挖断频发</w:t>
            </w:r>
          </w:p>
        </w:tc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6369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对濮院、崇福等施工密集区域的光缆进行标识，与施工方建立联络群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DA5F7C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3月下旬挖断事件有所减少</w:t>
            </w:r>
          </w:p>
        </w:tc>
      </w:tr>
      <w:tr w14:paraId="027A1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B6FC3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停电故障增加</w:t>
            </w:r>
          </w:p>
        </w:tc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F343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与供电部门联动，获取施工停电通知，提前通知中心站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548252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减少无效出勤，提升响应效率</w:t>
            </w:r>
          </w:p>
        </w:tc>
      </w:tr>
      <w:tr w14:paraId="4CD71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BD5EE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服务台远程解决率</w:t>
            </w:r>
          </w:p>
        </w:tc>
        <w:tc>
          <w:tcPr>
            <w:tcW w:w="48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6B58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持续更新知识库，增加常见故障远程处置指引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5FC35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在线解决率维持在30%以上</w:t>
            </w:r>
          </w:p>
        </w:tc>
      </w:tr>
    </w:tbl>
    <w:p w14:paraId="33E2151F">
      <w:pPr>
        <w:bidi w:val="0"/>
        <w:rPr>
          <w:rFonts w:hint="default"/>
        </w:rPr>
      </w:pPr>
    </w:p>
    <w:p w14:paraId="028B96D2">
      <w:pPr>
        <w:pStyle w:val="3"/>
        <w:bidi w:val="0"/>
        <w:rPr>
          <w:rFonts w:hint="default"/>
        </w:rPr>
      </w:pPr>
      <w:bookmarkStart w:id="14" w:name="_Toc22235"/>
      <w:r>
        <w:rPr>
          <w:rFonts w:hint="default"/>
        </w:rPr>
        <w:t>5. 交付管理指标达成情况</w:t>
      </w:r>
      <w:bookmarkEnd w:id="14"/>
    </w:p>
    <w:tbl>
      <w:tblPr>
        <w:tblStyle w:val="17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1170"/>
        <w:gridCol w:w="1594"/>
        <w:gridCol w:w="4010"/>
      </w:tblGrid>
      <w:tr w14:paraId="53F3F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5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181F9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指标名称</w:t>
            </w:r>
          </w:p>
        </w:tc>
        <w:tc>
          <w:tcPr>
            <w:tcW w:w="11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297B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目标值</w:t>
            </w:r>
          </w:p>
        </w:tc>
        <w:tc>
          <w:tcPr>
            <w:tcW w:w="15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88F1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本月实际值</w:t>
            </w:r>
          </w:p>
        </w:tc>
        <w:tc>
          <w:tcPr>
            <w:tcW w:w="4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5C0D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计算依据</w:t>
            </w:r>
          </w:p>
        </w:tc>
      </w:tr>
      <w:tr w14:paraId="2757E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51CE9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交付计划完成率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E6F3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E7DC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AC908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本月计划巡检/维修任务全部按计划完成</w:t>
            </w:r>
          </w:p>
        </w:tc>
      </w:tr>
      <w:tr w14:paraId="6CD56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68A4F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合规文档交付率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AD0D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684C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4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ED1B2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3月服务报告按时提交，内容审核通过</w:t>
            </w:r>
          </w:p>
        </w:tc>
      </w:tr>
    </w:tbl>
    <w:p w14:paraId="6BAC1CAE">
      <w:pPr>
        <w:bidi w:val="0"/>
        <w:ind w:left="0" w:leftChars="0" w:firstLine="0" w:firstLineChars="0"/>
        <w:rPr>
          <w:rFonts w:hint="default"/>
        </w:rPr>
      </w:pPr>
    </w:p>
    <w:p w14:paraId="29B76D53">
      <w:pPr>
        <w:pStyle w:val="3"/>
        <w:bidi w:val="0"/>
        <w:rPr>
          <w:rFonts w:hint="eastAsia"/>
          <w:lang w:eastAsia="zh-CN"/>
        </w:rPr>
      </w:pPr>
      <w:bookmarkStart w:id="15" w:name="_Toc25654"/>
      <w:r>
        <w:rPr>
          <w:rFonts w:hint="default"/>
        </w:rPr>
        <w:t>6. 下月工作计划（2026年4月）</w:t>
      </w:r>
      <w:bookmarkEnd w:id="15"/>
    </w:p>
    <w:p w14:paraId="3334DF86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雨季前检查：对室外机箱防水、防雷设施进行集中检查</w:t>
      </w:r>
    </w:p>
    <w:p w14:paraId="05F28F53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光缆隐患整治：联合工程队对濮院、崇福施工区域的光缆进行加固</w:t>
      </w:r>
    </w:p>
    <w:p w14:paraId="4C76C69A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备件库存盘点：补充高频故障型号备件（如某批次摄像机电源板）</w:t>
      </w:r>
    </w:p>
    <w:p w14:paraId="4407ABD8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应急演练准备：计划4月底组织一次光缆中断抢修桌面推演</w:t>
      </w:r>
    </w:p>
    <w:p w14:paraId="7670CB03">
      <w:pPr>
        <w:bidi w:val="0"/>
        <w:rPr>
          <w:rFonts w:hint="default"/>
        </w:rPr>
      </w:pPr>
    </w:p>
    <w:p w14:paraId="3FD8520A">
      <w:pPr>
        <w:pStyle w:val="3"/>
        <w:bidi w:val="0"/>
        <w:rPr>
          <w:rFonts w:hint="default"/>
        </w:rPr>
      </w:pPr>
      <w:bookmarkStart w:id="16" w:name="_Toc11042"/>
      <w:r>
        <w:rPr>
          <w:rFonts w:hint="default"/>
        </w:rPr>
        <w:t>7. 结论</w:t>
      </w:r>
      <w:bookmarkEnd w:id="16"/>
    </w:p>
    <w:p w14:paraId="6C394722">
      <w:pPr>
        <w:bidi w:val="0"/>
        <w:rPr>
          <w:rFonts w:hint="default"/>
        </w:rPr>
      </w:pPr>
      <w:r>
        <w:rPr>
          <w:rFonts w:hint="default"/>
        </w:rPr>
        <w:t>2026年3月，公安视频监控项目运维服务整体运行平稳，月在线率99.81%达到合同要求。本月故障主要集中在光缆挖断和停电，已采取针对性措施。各项KPI均达成目标，未发生客户投诉。下月将继续加强施工区域光缆保护和雨季前设备检查。</w:t>
      </w:r>
    </w:p>
    <w:p w14:paraId="7D89A2A2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附件清单：</w:t>
      </w:r>
    </w:p>
    <w:p w14:paraId="775CFBBD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2026年3月公安视频监控月度故障分析统计表（见附页）</w:t>
      </w:r>
    </w:p>
    <w:p w14:paraId="23456DE8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2026年3月巡检报告及修复情况汇总表（见附页）</w:t>
      </w:r>
    </w:p>
    <w:p w14:paraId="5E4BF2D2">
      <w:pPr>
        <w:bidi w:val="0"/>
        <w:rPr>
          <w:rFonts w:hint="default"/>
        </w:rPr>
      </w:pPr>
      <w:r>
        <w:rPr>
          <w:rFonts w:hint="default"/>
        </w:rPr>
        <w:t>编制人： 程方  审核人： 吴亚红  批准人： 吴亚红</w:t>
      </w:r>
    </w:p>
    <w:p w14:paraId="57A6E561">
      <w:pPr>
        <w:bidi w:val="0"/>
        <w:rPr>
          <w:rFonts w:hint="default"/>
        </w:rPr>
      </w:pPr>
    </w:p>
    <w:p w14:paraId="0F7B6E9C">
      <w:pPr>
        <w:bidi w:val="0"/>
        <w:rPr>
          <w:rFonts w:hint="default"/>
        </w:rPr>
      </w:pPr>
      <w:r>
        <w:rPr>
          <w:rFonts w:hint="default"/>
        </w:rPr>
        <w:t>附页：2026年3月公安视频监控月度故障分析统计表（简化版）</w:t>
      </w:r>
    </w:p>
    <w:tbl>
      <w:tblPr>
        <w:tblStyle w:val="17"/>
        <w:tblW w:w="85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9"/>
        <w:gridCol w:w="1027"/>
        <w:gridCol w:w="808"/>
        <w:gridCol w:w="699"/>
        <w:gridCol w:w="699"/>
        <w:gridCol w:w="699"/>
        <w:gridCol w:w="808"/>
        <w:gridCol w:w="699"/>
        <w:gridCol w:w="808"/>
        <w:gridCol w:w="808"/>
        <w:gridCol w:w="933"/>
      </w:tblGrid>
      <w:tr w14:paraId="4570C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E2AE1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区域</w:t>
            </w:r>
          </w:p>
        </w:tc>
        <w:tc>
          <w:tcPr>
            <w:tcW w:w="7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CA39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设备总量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40A8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停电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6BF2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光缆</w:t>
            </w:r>
          </w:p>
        </w:tc>
        <w:tc>
          <w:tcPr>
            <w:tcW w:w="7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69CB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电源线</w:t>
            </w:r>
          </w:p>
        </w:tc>
        <w:tc>
          <w:tcPr>
            <w:tcW w:w="7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32CB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设备重启</w:t>
            </w:r>
          </w:p>
        </w:tc>
        <w:tc>
          <w:tcPr>
            <w:tcW w:w="5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E506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ONU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D93E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相机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D68A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其他</w:t>
            </w:r>
          </w:p>
        </w:tc>
        <w:tc>
          <w:tcPr>
            <w:tcW w:w="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F221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故障合计</w:t>
            </w:r>
          </w:p>
        </w:tc>
        <w:tc>
          <w:tcPr>
            <w:tcW w:w="8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8845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月在线率</w:t>
            </w:r>
          </w:p>
        </w:tc>
      </w:tr>
      <w:tr w14:paraId="0E148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C8DFF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经开区(高桥)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73F4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563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55B9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0AD0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7E29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0B7F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F08F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8F7D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44D0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ED05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52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D6AB0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99.70%</w:t>
            </w:r>
          </w:p>
        </w:tc>
      </w:tr>
      <w:tr w14:paraId="41820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2E6FD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梧桐一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CDEE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461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18A0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01C5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F1A6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6CBA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362B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B423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04C7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FCC4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DDF5C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99.93%</w:t>
            </w:r>
          </w:p>
        </w:tc>
      </w:tr>
      <w:tr w14:paraId="46BB6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6FD94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梧桐二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7615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637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3831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F964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2A88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6E69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C69A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0698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290C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9942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FBFAE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99.81%</w:t>
            </w:r>
          </w:p>
        </w:tc>
      </w:tr>
      <w:tr w14:paraId="452D1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6D784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凤鸣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47D1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414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680F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230E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A91E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3B3C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3C39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0FCF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1D85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DA6B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48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1E70C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99.63%</w:t>
            </w:r>
          </w:p>
        </w:tc>
      </w:tr>
      <w:tr w14:paraId="2BA9F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75D36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濮院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1A6C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1,574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BFCB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5831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328A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71F5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3418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53E9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3E25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DD19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112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29EFFC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99.77%</w:t>
            </w:r>
          </w:p>
        </w:tc>
      </w:tr>
      <w:tr w14:paraId="11E21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1F26A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屠甸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771C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318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F37D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A714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6136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643C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3D1D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9CCE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5716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890A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632D4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99.85%</w:t>
            </w:r>
          </w:p>
        </w:tc>
      </w:tr>
      <w:tr w14:paraId="20CE6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3BAF4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崇福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CFCF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830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8D78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2128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B22F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5EC4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7D0D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EB43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8E19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D84F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70EB9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99.85%</w:t>
            </w:r>
          </w:p>
        </w:tc>
      </w:tr>
      <w:tr w14:paraId="078DC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CC746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洲泉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1677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B2F2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2F43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B62F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C590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B1A6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0D0F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DA47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17D8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9BDAB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99.79%</w:t>
            </w:r>
          </w:p>
        </w:tc>
      </w:tr>
      <w:tr w14:paraId="3314A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BBC13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大麻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A1B0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308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801F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C8FF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8433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CECA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A08E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F79F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EE3D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67A8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42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62FBF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99.56%</w:t>
            </w:r>
          </w:p>
        </w:tc>
      </w:tr>
      <w:tr w14:paraId="68A66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3B7BC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河山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AA4F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2B2D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76E1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662C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4514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58D6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8600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2B0E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0523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54421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99.81%</w:t>
            </w:r>
          </w:p>
        </w:tc>
      </w:tr>
      <w:tr w14:paraId="57FFF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2CACD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乌镇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4798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882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A7B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6CBB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A62E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B2C8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193C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1994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D212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29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ACE2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72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4FAC1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99.74%</w:t>
            </w:r>
          </w:p>
        </w:tc>
      </w:tr>
      <w:tr w14:paraId="7CF4C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F9C21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石门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1FB6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206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4364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B6FF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A61F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1B6D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808A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D575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15DC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AED4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F02FF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99.84%</w:t>
            </w:r>
          </w:p>
        </w:tc>
      </w:tr>
      <w:tr w14:paraId="1D084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5FD25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合计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EE4F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6,757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EF5B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109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46F3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98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D7B7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34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AA8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18</w:t>
            </w:r>
          </w:p>
        </w:tc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7BD9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15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26E4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15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4C2B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184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8354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473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235390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99.81%</w:t>
            </w:r>
          </w:p>
        </w:tc>
      </w:tr>
    </w:tbl>
    <w:p w14:paraId="757816BC">
      <w:pPr>
        <w:pStyle w:val="2"/>
        <w:rPr>
          <w:rFonts w:hint="eastAsia" w:eastAsia="宋体"/>
          <w:lang w:eastAsia="zh-CN"/>
        </w:rPr>
      </w:pPr>
    </w:p>
    <w:p w14:paraId="1D32A1B4">
      <w:pPr>
        <w:pStyle w:val="2"/>
        <w:rPr>
          <w:rFonts w:hint="eastAsia" w:eastAsia="宋体"/>
          <w:lang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797" w:bottom="1440" w:left="1797" w:header="850" w:footer="1134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94736102"/>
      <w:docPartObj>
        <w:docPartGallery w:val="autotext"/>
      </w:docPartObj>
    </w:sdtPr>
    <w:sdtContent>
      <w:p w14:paraId="3B6DC007">
        <w:pPr>
          <w:pStyle w:val="11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47048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27E7B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815B6">
    <w:pPr>
      <w:pStyle w:val="12"/>
      <w:pBdr>
        <w:bottom w:val="single" w:color="auto" w:sz="4" w:space="0"/>
      </w:pBdr>
      <w:tabs>
        <w:tab w:val="center" w:pos="7143"/>
        <w:tab w:val="right" w:pos="14287"/>
        <w:tab w:val="clear" w:pos="4153"/>
        <w:tab w:val="clear" w:pos="8306"/>
      </w:tabs>
      <w:spacing w:line="240" w:lineRule="auto"/>
      <w:ind w:firstLine="900" w:firstLineChars="500"/>
      <w:jc w:val="both"/>
      <w:rPr>
        <w:sz w:val="21"/>
        <w:szCs w:val="21"/>
      </w:rPr>
    </w:pPr>
    <w:r>
      <w:rPr>
        <w:rFonts w:hint="default"/>
      </w:rPr>
      <w:t xml:space="preserve">                                                         </w:t>
    </w:r>
    <w:r>
      <w:rPr>
        <w:rFonts w:hint="eastAsia"/>
        <w:lang w:val="en-US"/>
      </w:rPr>
      <w:t>桐乡华数广电网络有限公司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30144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BD21A">
    <w:pPr>
      <w:pStyle w:val="12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3C7D6E"/>
    <w:multiLevelType w:val="multilevel"/>
    <w:tmpl w:val="693C7D6E"/>
    <w:lvl w:ilvl="0" w:tentative="0">
      <w:start w:val="1"/>
      <w:numFmt w:val="decimal"/>
      <w:pStyle w:val="14"/>
      <w:isLgl/>
      <w:lvlText w:val="%1)"/>
      <w:lvlJc w:val="left"/>
      <w:pPr>
        <w:ind w:left="839" w:hanging="419"/>
      </w:pPr>
      <w:rPr>
        <w:rFonts w:hint="eastAsia"/>
      </w:rPr>
    </w:lvl>
    <w:lvl w:ilvl="1" w:tentative="0">
      <w:start w:val="1"/>
      <w:numFmt w:val="bullet"/>
      <w:pStyle w:val="8"/>
      <w:lvlText w:val=""/>
      <w:lvlJc w:val="left"/>
      <w:pPr>
        <w:ind w:left="1259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0"/>
  <w:bordersDoNotSurroundFooter w:val="0"/>
  <w:doNotTrackMove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FiZDIzMjBhYjY3YjcwYmIxYWI1NjM4YzVmYjEyMDMifQ=="/>
  </w:docVars>
  <w:rsids>
    <w:rsidRoot w:val="00000000"/>
    <w:rsid w:val="0BDF1A56"/>
    <w:rsid w:val="0C71397B"/>
    <w:rsid w:val="4BE408D6"/>
    <w:rsid w:val="52763738"/>
    <w:rsid w:val="75442539"/>
    <w:rsid w:val="7A943A0D"/>
    <w:rsid w:val="7CC6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iPriority="99" w:semiHidden="0" w:name="List"/>
    <w:lsdException w:uiPriority="99" w:name="List Bullet"/>
    <w:lsdException w:uiPriority="99" w:name="List Number"/>
    <w:lsdException w:qFormat="1" w:uiPriority="99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23"/>
    <w:qFormat/>
    <w:uiPriority w:val="9"/>
    <w:pPr>
      <w:keepNext/>
      <w:keepLines/>
      <w:numPr>
        <w:ilvl w:val="0"/>
        <w:numId w:val="0"/>
      </w:numPr>
      <w:spacing w:before="100" w:beforeLines="100" w:after="100" w:afterLines="100" w:line="240" w:lineRule="auto"/>
      <w:ind w:firstLine="0" w:firstLineChars="0"/>
      <w:outlineLvl w:val="0"/>
    </w:pPr>
    <w:rPr>
      <w:rFonts w:ascii="宋体" w:hAnsi="宋体" w:eastAsia="宋体"/>
      <w:b/>
      <w:bCs/>
      <w:sz w:val="32"/>
      <w:szCs w:val="32"/>
    </w:rPr>
  </w:style>
  <w:style w:type="paragraph" w:styleId="4">
    <w:name w:val="heading 2"/>
    <w:basedOn w:val="1"/>
    <w:next w:val="1"/>
    <w:link w:val="22"/>
    <w:unhideWhenUsed/>
    <w:qFormat/>
    <w:uiPriority w:val="9"/>
    <w:pPr>
      <w:keepNext/>
      <w:keepLines/>
      <w:numPr>
        <w:ilvl w:val="1"/>
        <w:numId w:val="0"/>
      </w:numPr>
      <w:spacing w:before="100" w:beforeLines="100" w:after="100" w:afterLines="100" w:line="240" w:lineRule="auto"/>
      <w:ind w:firstLineChars="0"/>
      <w:outlineLvl w:val="1"/>
    </w:pPr>
    <w:rPr>
      <w:rFonts w:ascii="宋体" w:hAnsi="宋体" w:eastAsia="宋体"/>
      <w:b/>
      <w:bCs/>
      <w:sz w:val="30"/>
      <w:szCs w:val="30"/>
    </w:rPr>
  </w:style>
  <w:style w:type="paragraph" w:styleId="5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0"/>
      </w:numPr>
      <w:spacing w:before="50" w:beforeLines="50" w:after="50" w:afterLines="50" w:line="240" w:lineRule="auto"/>
      <w:ind w:firstLineChars="0"/>
      <w:outlineLvl w:val="2"/>
    </w:pPr>
    <w:rPr>
      <w:rFonts w:ascii="宋体" w:hAnsi="宋体" w:eastAsia="宋体"/>
      <w:b/>
      <w:bCs/>
      <w:sz w:val="28"/>
    </w:rPr>
  </w:style>
  <w:style w:type="paragraph" w:styleId="6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0"/>
      </w:numPr>
      <w:spacing w:before="120" w:after="120" w:line="240" w:lineRule="auto"/>
      <w:ind w:firstLineChars="0"/>
      <w:outlineLvl w:val="3"/>
    </w:pPr>
    <w:rPr>
      <w:rFonts w:ascii="Cambria" w:hAnsi="Cambria" w:eastAsia="宋体"/>
      <w:b/>
      <w:bCs/>
      <w:szCs w:val="28"/>
    </w:rPr>
  </w:style>
  <w:style w:type="paragraph" w:styleId="7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unhideWhenUsed/>
    <w:qFormat/>
    <w:uiPriority w:val="99"/>
    <w:pPr>
      <w:spacing w:after="120" w:afterLines="0" w:afterAutospacing="0"/>
    </w:pPr>
  </w:style>
  <w:style w:type="paragraph" w:styleId="8">
    <w:name w:val="List 2"/>
    <w:unhideWhenUsed/>
    <w:qFormat/>
    <w:uiPriority w:val="99"/>
    <w:pPr>
      <w:numPr>
        <w:ilvl w:val="1"/>
        <w:numId w:val="1"/>
      </w:numPr>
      <w:spacing w:line="360" w:lineRule="auto"/>
      <w:contextualSpacing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9">
    <w:name w:val="toc 3"/>
    <w:basedOn w:val="1"/>
    <w:next w:val="1"/>
    <w:unhideWhenUsed/>
    <w:qFormat/>
    <w:uiPriority w:val="39"/>
    <w:pPr>
      <w:ind w:left="420" w:firstLine="0" w:firstLineChars="0"/>
    </w:pPr>
    <w:rPr>
      <w:iCs/>
    </w:rPr>
  </w:style>
  <w:style w:type="paragraph" w:styleId="10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2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ind w:firstLine="0" w:firstLineChars="0"/>
    </w:pPr>
    <w:rPr>
      <w:bCs/>
      <w:caps/>
    </w:rPr>
  </w:style>
  <w:style w:type="paragraph" w:styleId="14">
    <w:name w:val="List"/>
    <w:link w:val="35"/>
    <w:unhideWhenUsed/>
    <w:qFormat/>
    <w:uiPriority w:val="99"/>
    <w:pPr>
      <w:numPr>
        <w:ilvl w:val="0"/>
        <w:numId w:val="1"/>
      </w:numPr>
      <w:spacing w:line="360" w:lineRule="auto"/>
      <w:contextualSpacing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15">
    <w:name w:val="toc 2"/>
    <w:basedOn w:val="1"/>
    <w:next w:val="1"/>
    <w:unhideWhenUsed/>
    <w:qFormat/>
    <w:uiPriority w:val="39"/>
    <w:pPr>
      <w:tabs>
        <w:tab w:val="right" w:leader="dot" w:pos="8312"/>
      </w:tabs>
      <w:ind w:left="210" w:firstLine="6" w:firstLineChars="0"/>
      <w:jc w:val="center"/>
    </w:pPr>
    <w:rPr>
      <w:rFonts w:asciiTheme="minorEastAsia" w:hAnsiTheme="minorEastAsia" w:eastAsiaTheme="minorEastAsia"/>
      <w:smallCaps/>
      <w:sz w:val="32"/>
    </w:rPr>
  </w:style>
  <w:style w:type="paragraph" w:styleId="16">
    <w:name w:val="Normal (Web)"/>
    <w:basedOn w:val="1"/>
    <w:semiHidden/>
    <w:unhideWhenUsed/>
    <w:qFormat/>
    <w:uiPriority w:val="99"/>
    <w:rPr>
      <w:sz w:val="24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2 字符"/>
    <w:link w:val="4"/>
    <w:qFormat/>
    <w:uiPriority w:val="9"/>
    <w:rPr>
      <w:rFonts w:ascii="宋体" w:hAnsi="宋体" w:eastAsia="宋体" w:cs="宋体"/>
      <w:b/>
      <w:bCs/>
      <w:kern w:val="0"/>
      <w:sz w:val="30"/>
      <w:szCs w:val="30"/>
    </w:rPr>
  </w:style>
  <w:style w:type="character" w:customStyle="1" w:styleId="23">
    <w:name w:val="标题 1 字符"/>
    <w:link w:val="3"/>
    <w:qFormat/>
    <w:uiPriority w:val="9"/>
    <w:rPr>
      <w:rFonts w:ascii="宋体" w:hAnsi="宋体" w:eastAsia="宋体" w:cs="宋体"/>
      <w:b/>
      <w:bCs/>
      <w:kern w:val="0"/>
      <w:sz w:val="32"/>
      <w:szCs w:val="32"/>
      <w:lang w:val="en-US" w:eastAsia="zh-CN" w:bidi="ar-SA"/>
    </w:rPr>
  </w:style>
  <w:style w:type="character" w:customStyle="1" w:styleId="24">
    <w:name w:val="标题 4 字符"/>
    <w:link w:val="6"/>
    <w:qFormat/>
    <w:uiPriority w:val="0"/>
    <w:rPr>
      <w:rFonts w:ascii="Cambria" w:hAnsi="Cambria" w:eastAsia="宋体" w:cs="宋体"/>
      <w:b/>
      <w:bCs/>
      <w:kern w:val="0"/>
      <w:sz w:val="24"/>
      <w:szCs w:val="28"/>
    </w:rPr>
  </w:style>
  <w:style w:type="character" w:customStyle="1" w:styleId="25">
    <w:name w:val="标题 3 字符"/>
    <w:link w:val="5"/>
    <w:qFormat/>
    <w:uiPriority w:val="9"/>
    <w:rPr>
      <w:rFonts w:ascii="宋体" w:hAnsi="宋体" w:eastAsia="宋体" w:cs="宋体"/>
      <w:b/>
      <w:bCs/>
      <w:kern w:val="0"/>
      <w:sz w:val="28"/>
      <w:szCs w:val="24"/>
    </w:rPr>
  </w:style>
  <w:style w:type="character" w:customStyle="1" w:styleId="26">
    <w:name w:val="页眉 字符"/>
    <w:basedOn w:val="19"/>
    <w:link w:val="12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1"/>
    <w:qFormat/>
    <w:uiPriority w:val="99"/>
    <w:rPr>
      <w:sz w:val="18"/>
      <w:szCs w:val="18"/>
    </w:rPr>
  </w:style>
  <w:style w:type="character" w:customStyle="1" w:styleId="28">
    <w:name w:val="批注框文本 字符"/>
    <w:basedOn w:val="19"/>
    <w:link w:val="10"/>
    <w:semiHidden/>
    <w:qFormat/>
    <w:uiPriority w:val="99"/>
    <w:rPr>
      <w:sz w:val="18"/>
      <w:szCs w:val="18"/>
    </w:rPr>
  </w:style>
  <w:style w:type="paragraph" w:customStyle="1" w:styleId="29">
    <w:name w:val="TOC Heading"/>
    <w:basedOn w:val="3"/>
    <w:next w:val="1"/>
    <w:unhideWhenUsed/>
    <w:qFormat/>
    <w:uiPriority w:val="39"/>
    <w:pPr>
      <w:numPr>
        <w:numId w:val="0"/>
      </w:numPr>
      <w:spacing w:before="0" w:beforeLines="0" w:line="360" w:lineRule="auto"/>
      <w:jc w:val="center"/>
      <w:outlineLvl w:val="9"/>
    </w:pPr>
    <w:rPr>
      <w:rFonts w:ascii="Cambria" w:hAnsi="Cambria" w:cs="Times New Roman"/>
    </w:rPr>
  </w:style>
  <w:style w:type="paragraph" w:styleId="30">
    <w:name w:val="List Paragraph"/>
    <w:basedOn w:val="1"/>
    <w:qFormat/>
    <w:uiPriority w:val="34"/>
    <w:pPr>
      <w:ind w:firstLine="420"/>
    </w:pPr>
  </w:style>
  <w:style w:type="paragraph" w:customStyle="1" w:styleId="31">
    <w:name w:val="瑞讯达正文"/>
    <w:basedOn w:val="1"/>
    <w:link w:val="33"/>
    <w:qFormat/>
    <w:uiPriority w:val="0"/>
    <w:pPr>
      <w:adjustRightInd/>
      <w:jc w:val="both"/>
    </w:pPr>
    <w:rPr>
      <w:rFonts w:ascii="Calibri" w:hAnsi="Calibri" w:cs="黑体"/>
    </w:rPr>
  </w:style>
  <w:style w:type="paragraph" w:customStyle="1" w:styleId="32">
    <w:name w:val="正文（绿盟科技）"/>
    <w:link w:val="34"/>
    <w:qFormat/>
    <w:uiPriority w:val="0"/>
    <w:pPr>
      <w:spacing w:line="300" w:lineRule="auto"/>
    </w:pPr>
    <w:rPr>
      <w:rFonts w:ascii="Arial" w:hAnsi="Arial" w:eastAsia="宋体" w:cs="Times New Roman"/>
      <w:kern w:val="0"/>
      <w:sz w:val="21"/>
      <w:szCs w:val="21"/>
      <w:lang w:val="en-US" w:eastAsia="zh-CN" w:bidi="ar-SA"/>
    </w:rPr>
  </w:style>
  <w:style w:type="character" w:customStyle="1" w:styleId="33">
    <w:name w:val="瑞讯达正文 Char"/>
    <w:basedOn w:val="19"/>
    <w:link w:val="31"/>
    <w:qFormat/>
    <w:uiPriority w:val="0"/>
    <w:rPr>
      <w:rFonts w:ascii="Calibri" w:hAnsi="Calibri" w:eastAsia="宋体" w:cs="黑体"/>
    </w:rPr>
  </w:style>
  <w:style w:type="character" w:customStyle="1" w:styleId="34">
    <w:name w:val="正文（绿盟科技） Char"/>
    <w:link w:val="32"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35">
    <w:name w:val="列表 字符"/>
    <w:basedOn w:val="19"/>
    <w:link w:val="14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36">
    <w:name w:val="No Spacing"/>
    <w:link w:val="37"/>
    <w:qFormat/>
    <w:uiPriority w:val="0"/>
    <w:pPr>
      <w:adjustRightInd w:val="0"/>
      <w:snapToGrid w:val="0"/>
      <w:spacing w:line="288" w:lineRule="auto"/>
    </w:pPr>
    <w:rPr>
      <w:rFonts w:ascii="宋体" w:hAnsi="宋体" w:eastAsia="宋体" w:cs="宋体"/>
      <w:kern w:val="0"/>
      <w:sz w:val="21"/>
      <w:szCs w:val="21"/>
      <w:lang w:val="en-US" w:eastAsia="zh-CN" w:bidi="ar-SA"/>
    </w:rPr>
  </w:style>
  <w:style w:type="character" w:customStyle="1" w:styleId="37">
    <w:name w:val="无间隔 字符"/>
    <w:basedOn w:val="19"/>
    <w:link w:val="36"/>
    <w:qFormat/>
    <w:uiPriority w:val="0"/>
    <w:rPr>
      <w:rFonts w:ascii="宋体" w:hAnsi="宋体" w:eastAsia="宋体" w:cs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1225</Words>
  <Characters>1529</Characters>
  <Lines>13</Lines>
  <Paragraphs>3</Paragraphs>
  <TotalTime>4</TotalTime>
  <ScaleCrop>false</ScaleCrop>
  <LinksUpToDate>false</LinksUpToDate>
  <CharactersWithSpaces>1570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2018-08-06T23:55:00Z</dcterms:created>
  <dc:creator>thinkpad</dc:creator>
  <cp:lastModifiedBy>高</cp:lastModifiedBy>
  <cp:lastPrinted>2019-09-16T05:28:00Z</cp:lastPrinted>
  <dcterms:modified xsi:type="dcterms:W3CDTF">2026-04-12T17:53:09Z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640BB382BAC74372B18CF281CFE2EAB7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