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0685"/>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910"/>
      <w:r>
        <w:rPr>
          <w:rFonts w:hint="eastAsia"/>
          <w:lang w:val="en-US" w:eastAsia="zh-CN"/>
        </w:rPr>
        <w:t>翔云系统运维服务项目</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2" w:name="_Toc18092"/>
      <w:r>
        <w:rPr>
          <w:rFonts w:hint="eastAsia"/>
          <w:lang w:val="en-US" w:eastAsia="zh-CN"/>
        </w:rPr>
        <w:t>应急演练大纲</w:t>
      </w:r>
      <w:bookmarkEnd w:id="2"/>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JXTX</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数智运营部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涂志云</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1</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徐超超</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宋体" w:eastAsia="宋体" w:hAnsi="宋体" w:cs="宋体" w:hint="eastAsia"/>
                <w:spacing w:val="200"/>
                <w:kern w:val="0"/>
                <w:sz w:val="20"/>
                <w:szCs w:val="20"/>
              </w:rPr>
              <w:t>何</w:t>
            </w:r>
            <w:r>
              <w:rPr>
                <w:rFonts w:asciiTheme="minorAscii" w:eastAsiaTheme="minorEastAsia" w:hAnsiTheme="minorAscii" w:hint="eastAsia"/>
                <w:spacing w:val="0"/>
                <w:kern w:val="0"/>
                <w:sz w:val="21"/>
                <w:vertAlign w:val="baseline"/>
                <w:lang w:val="en-US" w:eastAsia="zh-CN"/>
              </w:rPr>
              <w:t>峻</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涂志云</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_Toc30685 </w:instrText>
          </w:r>
          <w:r>
            <w:rPr>
              <w:rFonts w:ascii="宋体" w:eastAsia="宋体" w:hAnsi="宋体" w:cs="宋体" w:hint="eastAsia"/>
              <w:szCs w:val="24"/>
            </w:rPr>
            <w:fldChar w:fldCharType="separate"/>
          </w:r>
          <w:r>
            <w:rPr>
              <w:rFonts w:hint="eastAsia"/>
              <w:lang w:val="en-US" w:eastAsia="zh-CN"/>
            </w:rPr>
            <w:t>江西通信产业服务有限公司</w:t>
          </w:r>
          <w:r>
            <w:tab/>
          </w:r>
          <w:r>
            <w:fldChar w:fldCharType="begin"/>
          </w:r>
          <w:r>
            <w:instrText xml:space="preserve"> PAGEREF _Toc30685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_Toc1910 </w:instrText>
          </w:r>
          <w:r>
            <w:rPr>
              <w:rFonts w:ascii="宋体" w:eastAsia="宋体" w:hAnsi="宋体" w:cs="宋体" w:hint="eastAsia"/>
              <w:szCs w:val="24"/>
            </w:rPr>
            <w:fldChar w:fldCharType="separate"/>
          </w:r>
          <w:r>
            <w:rPr>
              <w:rFonts w:hint="eastAsia"/>
              <w:lang w:val="en-US" w:eastAsia="zh-CN"/>
            </w:rPr>
            <w:t>翔云系统运维服务项目</w:t>
          </w:r>
          <w:r>
            <w:tab/>
          </w:r>
          <w:r>
            <w:fldChar w:fldCharType="begin"/>
          </w:r>
          <w:r>
            <w:instrText xml:space="preserve"> PAGEREF _Toc1910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_Toc18092 </w:instrText>
          </w:r>
          <w:r>
            <w:rPr>
              <w:rFonts w:ascii="宋体" w:eastAsia="宋体" w:hAnsi="宋体" w:cs="宋体" w:hint="eastAsia"/>
              <w:szCs w:val="24"/>
            </w:rPr>
            <w:fldChar w:fldCharType="separate"/>
          </w:r>
          <w:r>
            <w:rPr>
              <w:rFonts w:hint="eastAsia"/>
              <w:lang w:val="en-US" w:eastAsia="zh-CN"/>
            </w:rPr>
            <w:t>应急演练大纲</w:t>
          </w:r>
          <w:r>
            <w:tab/>
          </w:r>
          <w:r>
            <w:fldChar w:fldCharType="begin"/>
          </w:r>
          <w:r>
            <w:instrText xml:space="preserve"> PAGEREF _Toc18092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_Toc15481 </w:instrText>
          </w:r>
          <w:r>
            <w:rPr>
              <w:rFonts w:ascii="宋体" w:eastAsia="宋体" w:hAnsi="宋体" w:cs="宋体" w:hint="eastAsia"/>
              <w:szCs w:val="24"/>
            </w:rPr>
            <w:fldChar w:fldCharType="separate"/>
          </w:r>
          <w:r>
            <w:rPr>
              <w:rFonts w:hint="default"/>
              <w:lang w:val="en-US" w:eastAsia="zh-CN"/>
            </w:rPr>
            <w:t>1. 1 总则</w:t>
          </w:r>
          <w:r>
            <w:tab/>
          </w:r>
          <w:r>
            <w:fldChar w:fldCharType="begin"/>
          </w:r>
          <w:r>
            <w:instrText xml:space="preserve"> PAGEREF _Toc15481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_Toc2168 </w:instrText>
          </w:r>
          <w:r>
            <w:rPr>
              <w:rFonts w:ascii="宋体" w:eastAsia="宋体" w:hAnsi="宋体" w:cs="宋体" w:hint="eastAsia"/>
              <w:szCs w:val="24"/>
            </w:rPr>
            <w:fldChar w:fldCharType="separate"/>
          </w:r>
          <w:r>
            <w:rPr>
              <w:rFonts w:hint="default"/>
              <w:lang w:val="en-US" w:eastAsia="zh-CN"/>
            </w:rPr>
            <w:t>1.1. 目的与依据</w:t>
          </w:r>
          <w:r>
            <w:tab/>
          </w:r>
          <w:r>
            <w:fldChar w:fldCharType="begin"/>
          </w:r>
          <w:r>
            <w:instrText xml:space="preserve"> PAGEREF _Toc2168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_Toc1338 </w:instrText>
          </w:r>
          <w:r>
            <w:rPr>
              <w:rFonts w:ascii="宋体" w:eastAsia="宋体" w:hAnsi="宋体" w:cs="宋体" w:hint="eastAsia"/>
              <w:szCs w:val="24"/>
            </w:rPr>
            <w:fldChar w:fldCharType="separate"/>
          </w:r>
          <w:r>
            <w:rPr>
              <w:rFonts w:hint="default"/>
              <w:lang w:val="en-US" w:eastAsia="zh-CN"/>
            </w:rPr>
            <w:t>1.2. 定位与作用</w:t>
          </w:r>
          <w:r>
            <w:tab/>
          </w:r>
          <w:r>
            <w:fldChar w:fldCharType="begin"/>
          </w:r>
          <w:r>
            <w:instrText xml:space="preserve"> PAGEREF _Toc1338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_Toc29157 </w:instrText>
          </w:r>
          <w:r>
            <w:rPr>
              <w:rFonts w:ascii="宋体" w:eastAsia="宋体" w:hAnsi="宋体" w:cs="宋体" w:hint="eastAsia"/>
              <w:szCs w:val="24"/>
            </w:rPr>
            <w:fldChar w:fldCharType="separate"/>
          </w:r>
          <w:r>
            <w:rPr>
              <w:rFonts w:hint="default"/>
              <w:lang w:val="en-US" w:eastAsia="zh-CN"/>
            </w:rPr>
            <w:t>1.3. 适用范围</w:t>
          </w:r>
          <w:r>
            <w:tab/>
          </w:r>
          <w:r>
            <w:fldChar w:fldCharType="begin"/>
          </w:r>
          <w:r>
            <w:instrText xml:space="preserve"> PAGEREF _Toc29157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_Toc13183 </w:instrText>
          </w:r>
          <w:r>
            <w:rPr>
              <w:rFonts w:ascii="宋体" w:eastAsia="宋体" w:hAnsi="宋体" w:cs="宋体" w:hint="eastAsia"/>
              <w:szCs w:val="24"/>
            </w:rPr>
            <w:fldChar w:fldCharType="separate"/>
          </w:r>
          <w:r>
            <w:rPr>
              <w:rFonts w:hint="default"/>
              <w:lang w:val="en-US" w:eastAsia="zh-CN"/>
            </w:rPr>
            <w:t>1.4. 核心原则</w:t>
          </w:r>
          <w:r>
            <w:tab/>
          </w:r>
          <w:r>
            <w:fldChar w:fldCharType="begin"/>
          </w:r>
          <w:r>
            <w:instrText xml:space="preserve"> PAGEREF _Toc13183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_Toc1679 </w:instrText>
          </w:r>
          <w:r>
            <w:rPr>
              <w:rFonts w:ascii="宋体" w:eastAsia="宋体" w:hAnsi="宋体" w:cs="宋体" w:hint="eastAsia"/>
              <w:szCs w:val="24"/>
            </w:rPr>
            <w:fldChar w:fldCharType="separate"/>
          </w:r>
          <w:r>
            <w:rPr>
              <w:rFonts w:hint="default"/>
              <w:lang w:val="en-US" w:eastAsia="zh-CN"/>
            </w:rPr>
            <w:t>2. 演练组织与职责</w:t>
          </w:r>
          <w:r>
            <w:tab/>
          </w:r>
          <w:r>
            <w:fldChar w:fldCharType="begin"/>
          </w:r>
          <w:r>
            <w:instrText xml:space="preserve"> PAGEREF _Toc1679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_Toc31162 </w:instrText>
          </w:r>
          <w:r>
            <w:rPr>
              <w:rFonts w:ascii="宋体" w:eastAsia="宋体" w:hAnsi="宋体" w:cs="宋体" w:hint="eastAsia"/>
              <w:szCs w:val="24"/>
            </w:rPr>
            <w:fldChar w:fldCharType="separate"/>
          </w:r>
          <w:r>
            <w:rPr>
              <w:rFonts w:hint="default"/>
              <w:lang w:val="en-US" w:eastAsia="zh-CN"/>
            </w:rPr>
            <w:t>2.1. 演练组织架构</w:t>
          </w:r>
          <w:r>
            <w:tab/>
          </w:r>
          <w:r>
            <w:fldChar w:fldCharType="begin"/>
          </w:r>
          <w:r>
            <w:instrText xml:space="preserve"> PAGEREF _Toc31162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_Toc32598 </w:instrText>
          </w:r>
          <w:r>
            <w:rPr>
              <w:rFonts w:ascii="宋体" w:eastAsia="宋体" w:hAnsi="宋体" w:cs="宋体" w:hint="eastAsia"/>
              <w:szCs w:val="24"/>
            </w:rPr>
            <w:fldChar w:fldCharType="separate"/>
          </w:r>
          <w:r>
            <w:rPr>
              <w:rFonts w:hint="default"/>
              <w:lang w:val="en-US" w:eastAsia="zh-CN"/>
            </w:rPr>
            <w:t>2.2. 参演角色职责矩阵</w:t>
          </w:r>
          <w:r>
            <w:tab/>
          </w:r>
          <w:r>
            <w:fldChar w:fldCharType="begin"/>
          </w:r>
          <w:r>
            <w:instrText xml:space="preserve"> PAGEREF _Toc32598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_Toc9369 </w:instrText>
          </w:r>
          <w:r>
            <w:rPr>
              <w:rFonts w:ascii="宋体" w:eastAsia="宋体" w:hAnsi="宋体" w:cs="宋体" w:hint="eastAsia"/>
              <w:szCs w:val="24"/>
            </w:rPr>
            <w:fldChar w:fldCharType="separate"/>
          </w:r>
          <w:r>
            <w:rPr>
              <w:rFonts w:hint="default"/>
              <w:lang w:val="en-US" w:eastAsia="zh-CN"/>
            </w:rPr>
            <w:t>3. 演练内容与场景</w:t>
          </w:r>
          <w:r>
            <w:tab/>
          </w:r>
          <w:r>
            <w:fldChar w:fldCharType="begin"/>
          </w:r>
          <w:r>
            <w:instrText xml:space="preserve"> PAGEREF _Toc9369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_Toc22589 </w:instrText>
          </w:r>
          <w:r>
            <w:rPr>
              <w:rFonts w:ascii="宋体" w:eastAsia="宋体" w:hAnsi="宋体" w:cs="宋体" w:hint="eastAsia"/>
              <w:szCs w:val="24"/>
            </w:rPr>
            <w:fldChar w:fldCharType="separate"/>
          </w:r>
          <w:r>
            <w:rPr>
              <w:rFonts w:hint="default"/>
              <w:lang w:val="en-US" w:eastAsia="zh-CN"/>
            </w:rPr>
            <w:t>3.1. 演练类型</w:t>
          </w:r>
          <w:r>
            <w:tab/>
          </w:r>
          <w:r>
            <w:fldChar w:fldCharType="begin"/>
          </w:r>
          <w:r>
            <w:instrText xml:space="preserve"> PAGEREF _Toc22589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_Toc16885 </w:instrText>
          </w:r>
          <w:r>
            <w:rPr>
              <w:rFonts w:ascii="宋体" w:eastAsia="宋体" w:hAnsi="宋体" w:cs="宋体" w:hint="eastAsia"/>
              <w:szCs w:val="24"/>
            </w:rPr>
            <w:fldChar w:fldCharType="separate"/>
          </w:r>
          <w:r>
            <w:rPr>
              <w:rFonts w:hint="default"/>
              <w:lang w:val="en-US" w:eastAsia="zh-CN"/>
            </w:rPr>
            <w:t>3.2. 核心演练场景方向</w:t>
          </w:r>
          <w:r>
            <w:tab/>
          </w:r>
          <w:r>
            <w:fldChar w:fldCharType="begin"/>
          </w:r>
          <w:r>
            <w:instrText xml:space="preserve"> PAGEREF _Toc16885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_Toc27157 </w:instrText>
          </w:r>
          <w:r>
            <w:rPr>
              <w:rFonts w:ascii="宋体" w:eastAsia="宋体" w:hAnsi="宋体" w:cs="宋体" w:hint="eastAsia"/>
              <w:szCs w:val="24"/>
            </w:rPr>
            <w:fldChar w:fldCharType="separate"/>
          </w:r>
          <w:r>
            <w:rPr>
              <w:rFonts w:hint="default"/>
              <w:lang w:val="en-US" w:eastAsia="zh-CN"/>
            </w:rPr>
            <w:t>3.3. 场景设计要素</w:t>
          </w:r>
          <w:r>
            <w:tab/>
          </w:r>
          <w:r>
            <w:fldChar w:fldCharType="begin"/>
          </w:r>
          <w:r>
            <w:instrText xml:space="preserve"> PAGEREF _Toc27157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_Toc10320 </w:instrText>
          </w:r>
          <w:r>
            <w:rPr>
              <w:rFonts w:ascii="宋体" w:eastAsia="宋体" w:hAnsi="宋体" w:cs="宋体" w:hint="eastAsia"/>
              <w:szCs w:val="24"/>
            </w:rPr>
            <w:fldChar w:fldCharType="separate"/>
          </w:r>
          <w:r>
            <w:rPr>
              <w:rFonts w:hint="default"/>
              <w:lang w:val="en-US" w:eastAsia="zh-CN"/>
            </w:rPr>
            <w:t>4. 演练流程</w:t>
          </w:r>
          <w:r>
            <w:tab/>
          </w:r>
          <w:r>
            <w:fldChar w:fldCharType="begin"/>
          </w:r>
          <w:r>
            <w:instrText xml:space="preserve"> PAGEREF _Toc10320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_Toc22141 </w:instrText>
          </w:r>
          <w:r>
            <w:rPr>
              <w:rFonts w:ascii="宋体" w:eastAsia="宋体" w:hAnsi="宋体" w:cs="宋体" w:hint="eastAsia"/>
              <w:szCs w:val="24"/>
            </w:rPr>
            <w:fldChar w:fldCharType="separate"/>
          </w:r>
          <w:r>
            <w:rPr>
              <w:rFonts w:hint="default"/>
              <w:lang w:val="en-US" w:eastAsia="zh-CN"/>
            </w:rPr>
            <w:t>4.1. 标准演练阶段</w:t>
          </w:r>
          <w:r>
            <w:tab/>
          </w:r>
          <w:r>
            <w:fldChar w:fldCharType="begin"/>
          </w:r>
          <w:r>
            <w:instrText xml:space="preserve"> PAGEREF _Toc22141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_Toc11084 </w:instrText>
          </w:r>
          <w:r>
            <w:rPr>
              <w:rFonts w:ascii="宋体" w:eastAsia="宋体" w:hAnsi="宋体" w:cs="宋体" w:hint="eastAsia"/>
              <w:szCs w:val="24"/>
            </w:rPr>
            <w:fldChar w:fldCharType="separate"/>
          </w:r>
          <w:r>
            <w:rPr>
              <w:rFonts w:hint="default"/>
              <w:lang w:val="en-US" w:eastAsia="zh-CN"/>
            </w:rPr>
            <w:t>4.2. 关键流程节点控制</w:t>
          </w:r>
          <w:r>
            <w:tab/>
          </w:r>
          <w:r>
            <w:fldChar w:fldCharType="begin"/>
          </w:r>
          <w:r>
            <w:instrText xml:space="preserve"> PAGEREF _Toc11084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_Toc268 </w:instrText>
          </w:r>
          <w:r>
            <w:rPr>
              <w:rFonts w:ascii="宋体" w:eastAsia="宋体" w:hAnsi="宋体" w:cs="宋体" w:hint="eastAsia"/>
              <w:szCs w:val="24"/>
            </w:rPr>
            <w:fldChar w:fldCharType="separate"/>
          </w:r>
          <w:r>
            <w:rPr>
              <w:rFonts w:hint="default"/>
              <w:lang w:val="en-US" w:eastAsia="zh-CN"/>
            </w:rPr>
            <w:t>5. 演练评估与改进</w:t>
          </w:r>
          <w:r>
            <w:tab/>
          </w:r>
          <w:r>
            <w:fldChar w:fldCharType="begin"/>
          </w:r>
          <w:r>
            <w:instrText xml:space="preserve"> PAGEREF _Toc268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_Toc27833 </w:instrText>
          </w:r>
          <w:r>
            <w:rPr>
              <w:rFonts w:ascii="宋体" w:eastAsia="宋体" w:hAnsi="宋体" w:cs="宋体" w:hint="eastAsia"/>
              <w:szCs w:val="24"/>
            </w:rPr>
            <w:fldChar w:fldCharType="separate"/>
          </w:r>
          <w:r>
            <w:rPr>
              <w:rFonts w:hint="default"/>
              <w:lang w:val="en-US" w:eastAsia="zh-CN"/>
            </w:rPr>
            <w:t>5.1. 评估维度</w:t>
          </w:r>
          <w:r>
            <w:tab/>
          </w:r>
          <w:r>
            <w:fldChar w:fldCharType="begin"/>
          </w:r>
          <w:r>
            <w:instrText xml:space="preserve"> PAGEREF _Toc27833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_Toc26267 </w:instrText>
          </w:r>
          <w:r>
            <w:rPr>
              <w:rFonts w:ascii="宋体" w:eastAsia="宋体" w:hAnsi="宋体" w:cs="宋体" w:hint="eastAsia"/>
              <w:szCs w:val="24"/>
            </w:rPr>
            <w:fldChar w:fldCharType="separate"/>
          </w:r>
          <w:r>
            <w:rPr>
              <w:rFonts w:hint="default"/>
              <w:lang w:val="en-US" w:eastAsia="zh-CN"/>
            </w:rPr>
            <w:t>5.2. 成果输出</w:t>
          </w:r>
          <w:r>
            <w:tab/>
          </w:r>
          <w:r>
            <w:fldChar w:fldCharType="begin"/>
          </w:r>
          <w:r>
            <w:instrText xml:space="preserve"> PAGEREF _Toc26267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_Toc30507 </w:instrText>
          </w:r>
          <w:r>
            <w:rPr>
              <w:rFonts w:ascii="宋体" w:eastAsia="宋体" w:hAnsi="宋体" w:cs="宋体" w:hint="eastAsia"/>
              <w:szCs w:val="24"/>
            </w:rPr>
            <w:fldChar w:fldCharType="separate"/>
          </w:r>
          <w:r>
            <w:rPr>
              <w:rFonts w:hint="default"/>
              <w:lang w:val="en-US" w:eastAsia="zh-CN"/>
            </w:rPr>
            <w:t>5.3. 改进跟踪</w:t>
          </w:r>
          <w:r>
            <w:tab/>
          </w:r>
          <w:r>
            <w:fldChar w:fldCharType="begin"/>
          </w:r>
          <w:r>
            <w:instrText xml:space="preserve"> PAGEREF _Toc30507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_Toc27655 </w:instrText>
          </w:r>
          <w:r>
            <w:rPr>
              <w:rFonts w:ascii="宋体" w:eastAsia="宋体" w:hAnsi="宋体" w:cs="宋体" w:hint="eastAsia"/>
              <w:szCs w:val="24"/>
            </w:rPr>
            <w:fldChar w:fldCharType="separate"/>
          </w:r>
          <w:r>
            <w:rPr>
              <w:rFonts w:hint="default"/>
              <w:lang w:val="en-US" w:eastAsia="zh-CN"/>
            </w:rPr>
            <w:t>6. 附则</w:t>
          </w:r>
          <w:r>
            <w:tab/>
          </w:r>
          <w:r>
            <w:fldChar w:fldCharType="begin"/>
          </w:r>
          <w:r>
            <w:instrText xml:space="preserve"> PAGEREF _Toc27655 \h </w:instrText>
          </w:r>
          <w:r>
            <w:fldChar w:fldCharType="separate"/>
          </w:r>
          <w:r>
            <w:t>8</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default"/>
          <w:lang w:val="en-US" w:eastAsia="zh-CN"/>
        </w:rPr>
      </w:pPr>
      <w:bookmarkStart w:id="3" w:name="_Toc15481"/>
      <w:r>
        <w:rPr>
          <w:rFonts w:hint="default"/>
          <w:lang w:val="en-US" w:eastAsia="zh-CN"/>
        </w:rPr>
        <w:t>1 总则</w:t>
      </w:r>
      <w:bookmarkEnd w:id="3"/>
    </w:p>
    <w:p>
      <w:pPr>
        <w:pStyle w:val="2"/>
        <w:bidi w:val="0"/>
        <w:rPr>
          <w:rFonts w:hint="default"/>
          <w:lang w:val="en-US" w:eastAsia="zh-CN"/>
        </w:rPr>
      </w:pPr>
      <w:bookmarkStart w:id="4" w:name="_Toc2168"/>
      <w:r>
        <w:rPr>
          <w:rFonts w:hint="default"/>
          <w:lang w:val="en-US" w:eastAsia="zh-CN"/>
        </w:rPr>
        <w:t>目的与依据</w:t>
      </w:r>
      <w:bookmarkEnd w:id="4"/>
    </w:p>
    <w:p>
      <w:pPr>
        <w:pStyle w:val="a1"/>
        <w:bidi w:val="0"/>
        <w:rPr>
          <w:rFonts w:hint="default"/>
          <w:lang w:val="en-US" w:eastAsia="zh-CN"/>
        </w:rPr>
      </w:pPr>
      <w:r>
        <w:rPr>
          <w:rFonts w:hint="default"/>
          <w:lang w:val="en-US" w:eastAsia="zh-CN"/>
        </w:rPr>
        <w:t>为建立健全“翔云系统运维</w:t>
      </w:r>
      <w:r>
        <w:rPr>
          <w:rFonts w:hint="eastAsia"/>
          <w:lang w:val="en-US" w:eastAsia="zh-CN"/>
        </w:rPr>
        <w:t>服务项目</w:t>
      </w:r>
      <w:r>
        <w:rPr>
          <w:rFonts w:hint="default"/>
          <w:lang w:val="en-US" w:eastAsia="zh-CN"/>
        </w:rPr>
        <w:t>”（以下简称“本项目”）的应急响应与业务连续性保障能力，规范应急演练全过程管理，依据《《中华人民共和国网络安全法》、《信息安全技术 网络安全事件应急演练指南》等法律法规及标准，结合公司《运维应急管理制度》及与客户签订的《项目合同》，特制定本大纲。</w:t>
      </w:r>
    </w:p>
    <w:p>
      <w:pPr>
        <w:pStyle w:val="2"/>
        <w:bidi w:val="0"/>
        <w:rPr>
          <w:rFonts w:hint="default"/>
          <w:lang w:val="en-US" w:eastAsia="zh-CN"/>
        </w:rPr>
      </w:pPr>
      <w:bookmarkStart w:id="5" w:name="_Toc1338"/>
      <w:r>
        <w:rPr>
          <w:rFonts w:hint="default"/>
          <w:lang w:val="en-US" w:eastAsia="zh-CN"/>
        </w:rPr>
        <w:t>定位与作用</w:t>
      </w:r>
      <w:bookmarkEnd w:id="5"/>
    </w:p>
    <w:p>
      <w:pPr>
        <w:pStyle w:val="a1"/>
        <w:bidi w:val="0"/>
        <w:rPr>
          <w:rFonts w:hint="default"/>
          <w:lang w:val="en-US" w:eastAsia="zh-CN"/>
        </w:rPr>
      </w:pPr>
      <w:r>
        <w:rPr>
          <w:rFonts w:hint="default"/>
          <w:lang w:val="en-US" w:eastAsia="zh-CN"/>
        </w:rPr>
        <w:t>本大纲是指导本项目所有应急演练活动的纲领性文件，为《应急演练计划》的制定、《应急演练预案》的编写、《应急演练报告》的编制以及《应急演练改进报告》的跟踪提供统一框架和核心要求，确保演练活动的系统性、规范性和持续性改进。</w:t>
      </w:r>
    </w:p>
    <w:p>
      <w:pPr>
        <w:pStyle w:val="2"/>
        <w:bidi w:val="0"/>
        <w:rPr>
          <w:rFonts w:hint="default"/>
          <w:lang w:val="en-US" w:eastAsia="zh-CN"/>
        </w:rPr>
      </w:pPr>
      <w:bookmarkStart w:id="6" w:name="_Toc29157"/>
      <w:r>
        <w:rPr>
          <w:rFonts w:hint="default"/>
          <w:lang w:val="en-US" w:eastAsia="zh-CN"/>
        </w:rPr>
        <w:t>适用范围</w:t>
      </w:r>
      <w:bookmarkEnd w:id="6"/>
    </w:p>
    <w:p>
      <w:pPr>
        <w:pStyle w:val="a1"/>
        <w:bidi w:val="0"/>
        <w:rPr>
          <w:rFonts w:hint="default"/>
          <w:lang w:val="en-US" w:eastAsia="zh-CN"/>
        </w:rPr>
      </w:pPr>
      <w:r>
        <w:rPr>
          <w:rFonts w:hint="default"/>
          <w:lang w:val="en-US" w:eastAsia="zh-CN"/>
        </w:rPr>
        <w:t>本大纲适用于江西通信产业服务有限公司为本项目开展的所有计划内与计划外的应急演练活动，涉及本项目的服务台团队、运维团队、研发支撑团队（研究总院）、质量管理团队及相关管理人员。</w:t>
      </w:r>
    </w:p>
    <w:p>
      <w:pPr>
        <w:pStyle w:val="2"/>
        <w:bidi w:val="0"/>
        <w:rPr>
          <w:rFonts w:hint="default"/>
          <w:lang w:val="en-US" w:eastAsia="zh-CN"/>
        </w:rPr>
      </w:pPr>
      <w:bookmarkStart w:id="7" w:name="_Toc13183"/>
      <w:r>
        <w:rPr>
          <w:rFonts w:hint="default"/>
          <w:lang w:val="en-US" w:eastAsia="zh-CN"/>
        </w:rPr>
        <w:t>核心原则</w:t>
      </w:r>
      <w:bookmarkEnd w:id="7"/>
    </w:p>
    <w:p>
      <w:pPr>
        <w:pStyle w:val="a1"/>
        <w:bidi w:val="0"/>
        <w:rPr>
          <w:rFonts w:hint="default"/>
          <w:lang w:val="en-US" w:eastAsia="zh-CN"/>
        </w:rPr>
      </w:pPr>
      <w:r>
        <w:rPr>
          <w:rFonts w:hint="default"/>
          <w:lang w:val="en-US" w:eastAsia="zh-CN"/>
        </w:rPr>
        <w:t>业务导向原则：演练设计必须紧扣“翔云系统”的业务影响，以保障甲方核心业务连续性和达成服务级别协议（SLA）为首要目标。</w:t>
      </w:r>
    </w:p>
    <w:p>
      <w:pPr>
        <w:pStyle w:val="a1"/>
        <w:bidi w:val="0"/>
        <w:rPr>
          <w:rFonts w:hint="default"/>
          <w:lang w:val="en-US" w:eastAsia="zh-CN"/>
        </w:rPr>
      </w:pPr>
      <w:r>
        <w:rPr>
          <w:rFonts w:hint="default"/>
          <w:lang w:val="en-US" w:eastAsia="zh-CN"/>
        </w:rPr>
        <w:t>实战牵引原则：演练场景应贴近真实，流程应基于实际应急预案，鼓励采用“无通知”或“半真实”方式，检验真实响应能力。</w:t>
      </w:r>
    </w:p>
    <w:p>
      <w:pPr>
        <w:pStyle w:val="a1"/>
        <w:bidi w:val="0"/>
        <w:rPr>
          <w:rFonts w:hint="default"/>
          <w:lang w:val="en-US" w:eastAsia="zh-CN"/>
        </w:rPr>
      </w:pPr>
      <w:r>
        <w:rPr>
          <w:rFonts w:hint="default"/>
          <w:lang w:val="en-US" w:eastAsia="zh-CN"/>
        </w:rPr>
        <w:t>协同联动原则：演练必须覆盖合同明确的各专业团队（服务台、运维、研发支撑、质量与应急），强化跨部门、跨层级的指挥协同与信息通报机制。</w:t>
      </w:r>
    </w:p>
    <w:p>
      <w:pPr>
        <w:pStyle w:val="a1"/>
        <w:bidi w:val="0"/>
        <w:rPr>
          <w:rFonts w:hint="default"/>
          <w:lang w:val="en-US" w:eastAsia="zh-CN"/>
        </w:rPr>
      </w:pPr>
      <w:r>
        <w:rPr>
          <w:rFonts w:hint="default"/>
          <w:lang w:val="en-US" w:eastAsia="zh-CN"/>
        </w:rPr>
        <w:t>知识沉淀原则：演练全过程是知识创造的关键环节，必须将验证有效的处置步骤、暴露的问题及改进措施，系统性地沉淀至项目知识库。</w:t>
      </w:r>
    </w:p>
    <w:p>
      <w:pPr>
        <w:pStyle w:val="a1"/>
        <w:bidi w:val="0"/>
        <w:rPr>
          <w:rFonts w:hint="default"/>
          <w:lang w:val="en-US" w:eastAsia="zh-CN"/>
        </w:rPr>
      </w:pPr>
      <w:r>
        <w:rPr>
          <w:rFonts w:hint="default"/>
          <w:lang w:val="en-US" w:eastAsia="zh-CN"/>
        </w:rPr>
        <w:t>持续改进原则：演练的结束是改进的开始，必须建立“演练-评估-改进-再演练”的闭环管理机制。</w:t>
      </w:r>
    </w:p>
    <w:p>
      <w:pPr>
        <w:pStyle w:val="1"/>
        <w:bidi w:val="0"/>
        <w:rPr>
          <w:rFonts w:hint="default"/>
          <w:lang w:val="en-US" w:eastAsia="zh-CN"/>
        </w:rPr>
      </w:pPr>
      <w:bookmarkStart w:id="8" w:name="_Toc1679"/>
      <w:r>
        <w:rPr>
          <w:rFonts w:hint="default"/>
          <w:lang w:val="en-US" w:eastAsia="zh-CN"/>
        </w:rPr>
        <w:t>演练组织与职责</w:t>
      </w:r>
      <w:bookmarkEnd w:id="8"/>
    </w:p>
    <w:p>
      <w:pPr>
        <w:pStyle w:val="2"/>
        <w:bidi w:val="0"/>
        <w:rPr>
          <w:rFonts w:hint="default"/>
          <w:lang w:val="en-US" w:eastAsia="zh-CN"/>
        </w:rPr>
      </w:pPr>
      <w:bookmarkStart w:id="9" w:name="_Toc31162"/>
      <w:r>
        <w:rPr>
          <w:rFonts w:hint="default"/>
          <w:lang w:val="en-US" w:eastAsia="zh-CN"/>
        </w:rPr>
        <w:t>演练组织架构</w:t>
      </w:r>
      <w:bookmarkEnd w:id="9"/>
    </w:p>
    <w:p>
      <w:pPr>
        <w:pStyle w:val="a1"/>
        <w:bidi w:val="0"/>
        <w:rPr>
          <w:rFonts w:hint="default"/>
          <w:lang w:val="en-US" w:eastAsia="zh-CN"/>
        </w:rPr>
      </w:pPr>
      <w:r>
        <w:rPr>
          <w:rFonts w:hint="default"/>
          <w:lang w:val="en-US" w:eastAsia="zh-CN"/>
        </w:rPr>
        <w:t>设立项目应急</w:t>
      </w:r>
      <w:r>
        <w:rPr>
          <w:rFonts w:hint="eastAsia"/>
          <w:lang w:val="en-US" w:eastAsia="zh-CN"/>
        </w:rPr>
        <w:t>管理部</w:t>
      </w:r>
      <w:r>
        <w:rPr>
          <w:rFonts w:hint="default"/>
          <w:lang w:val="en-US" w:eastAsia="zh-CN"/>
        </w:rPr>
        <w:t>，职责如下：</w:t>
      </w:r>
    </w:p>
    <w:tbl>
      <w:tblPr>
        <w:tblStyle w:val="TableNormal"/>
        <w:tblW w:w="8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942"/>
        <w:gridCol w:w="1046"/>
        <w:gridCol w:w="3388"/>
        <w:gridCol w:w="3147"/>
      </w:tblGrid>
      <w:tr>
        <w:tblPrEx>
          <w:tblW w:w="85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942"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组别</w:t>
            </w:r>
          </w:p>
        </w:tc>
        <w:tc>
          <w:tcPr>
            <w:tcW w:w="104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3388"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人员构成（参考岗位）</w:t>
            </w:r>
          </w:p>
        </w:tc>
        <w:tc>
          <w:tcPr>
            <w:tcW w:w="3147"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主要职责</w:t>
            </w:r>
          </w:p>
        </w:tc>
      </w:tr>
      <w:tr>
        <w:tblPrEx>
          <w:tblW w:w="8523" w:type="dxa"/>
          <w:jc w:val="center"/>
          <w:shd w:val="clear" w:color="auto" w:fill="auto"/>
          <w:tblCellMar>
            <w:top w:w="15" w:type="dxa"/>
            <w:left w:w="15" w:type="dxa"/>
            <w:bottom w:w="15" w:type="dxa"/>
            <w:right w:w="15" w:type="dxa"/>
          </w:tblCellMar>
        </w:tblPrEx>
        <w:trPr>
          <w:trHeight w:val="0"/>
          <w:jc w:val="center"/>
        </w:trPr>
        <w:tc>
          <w:tcPr>
            <w:tcW w:w="942" w:type="dxa"/>
            <w:vMerge w:val="restart"/>
            <w:tcBorders>
              <w:top w:val="single" w:sz="4" w:space="0" w:color="auto"/>
              <w:left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领导小组</w:t>
            </w:r>
          </w:p>
        </w:tc>
        <w:tc>
          <w:tcPr>
            <w:tcW w:w="104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组长</w:t>
            </w:r>
          </w:p>
        </w:tc>
        <w:tc>
          <w:tcPr>
            <w:tcW w:w="338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数智运营部经理</w:t>
            </w:r>
          </w:p>
        </w:tc>
        <w:tc>
          <w:tcPr>
            <w:tcW w:w="314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审批演练总体计划与大纲；提供资源保障；对演练重大事项进行决策。</w:t>
            </w:r>
          </w:p>
        </w:tc>
      </w:tr>
      <w:tr>
        <w:tblPrEx>
          <w:tblW w:w="8523" w:type="dxa"/>
          <w:jc w:val="center"/>
          <w:shd w:val="clear" w:color="auto" w:fill="auto"/>
          <w:tblCellMar>
            <w:top w:w="15" w:type="dxa"/>
            <w:left w:w="15" w:type="dxa"/>
            <w:bottom w:w="15" w:type="dxa"/>
            <w:right w:w="15" w:type="dxa"/>
          </w:tblCellMar>
        </w:tblPrEx>
        <w:trPr>
          <w:trHeight w:val="0"/>
          <w:jc w:val="center"/>
        </w:trPr>
        <w:tc>
          <w:tcPr>
            <w:tcW w:w="942" w:type="dxa"/>
            <w:vMerge/>
            <w:tcBorders>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04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副组长</w:t>
            </w:r>
          </w:p>
        </w:tc>
        <w:tc>
          <w:tcPr>
            <w:tcW w:w="338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运维项目经理、质量管理部经理</w:t>
            </w:r>
          </w:p>
        </w:tc>
        <w:tc>
          <w:tcPr>
            <w:tcW w:w="314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审核具体演练方案；监督演练过程；指导改进措施的落实。</w:t>
            </w:r>
          </w:p>
        </w:tc>
      </w:tr>
      <w:tr>
        <w:tblPrEx>
          <w:tblW w:w="8523" w:type="dxa"/>
          <w:jc w:val="center"/>
          <w:shd w:val="clear" w:color="auto" w:fill="auto"/>
          <w:tblCellMar>
            <w:top w:w="15" w:type="dxa"/>
            <w:left w:w="15" w:type="dxa"/>
            <w:bottom w:w="15" w:type="dxa"/>
            <w:right w:w="15" w:type="dxa"/>
          </w:tblCellMar>
        </w:tblPrEx>
        <w:trPr>
          <w:trHeight w:val="0"/>
          <w:jc w:val="center"/>
        </w:trPr>
        <w:tc>
          <w:tcPr>
            <w:tcW w:w="942" w:type="dxa"/>
            <w:vMerge w:val="restart"/>
            <w:tcBorders>
              <w:top w:val="single" w:sz="4" w:space="0" w:color="auto"/>
              <w:left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工作小组</w:t>
            </w:r>
          </w:p>
        </w:tc>
        <w:tc>
          <w:tcPr>
            <w:tcW w:w="104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组长</w:t>
            </w:r>
          </w:p>
        </w:tc>
        <w:tc>
          <w:tcPr>
            <w:tcW w:w="338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314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具体策划、组织、实施演练；编写演练方案与报告。</w:t>
            </w:r>
          </w:p>
        </w:tc>
      </w:tr>
      <w:tr>
        <w:tblPrEx>
          <w:tblW w:w="8523" w:type="dxa"/>
          <w:jc w:val="center"/>
          <w:shd w:val="clear" w:color="auto" w:fill="auto"/>
          <w:tblCellMar>
            <w:top w:w="15" w:type="dxa"/>
            <w:left w:w="15" w:type="dxa"/>
            <w:bottom w:w="15" w:type="dxa"/>
            <w:right w:w="15" w:type="dxa"/>
          </w:tblCellMar>
        </w:tblPrEx>
        <w:trPr>
          <w:trHeight w:val="0"/>
          <w:jc w:val="center"/>
        </w:trPr>
        <w:tc>
          <w:tcPr>
            <w:tcW w:w="942" w:type="dxa"/>
            <w:vMerge/>
            <w:tcBorders>
              <w:left w:val="single" w:sz="12" w:space="0" w:color="auto"/>
              <w:right w:val="single" w:sz="4" w:space="0" w:color="auto"/>
            </w:tcBorders>
            <w:shd w:val="clear" w:color="auto" w:fill="auto"/>
            <w:tcMar>
              <w:top w:w="120" w:type="dxa"/>
              <w:left w:w="0"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04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核心成员</w:t>
            </w:r>
          </w:p>
        </w:tc>
        <w:tc>
          <w:tcPr>
            <w:tcW w:w="3388"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服务台专员、运维工程师、研发支撑组代表、服务知识专员、质量管理专员</w:t>
            </w:r>
          </w:p>
        </w:tc>
        <w:tc>
          <w:tcPr>
            <w:tcW w:w="3147"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参与方案设计；承担演练中的具体角色；执行处置动作；参与复盘。</w:t>
            </w:r>
          </w:p>
        </w:tc>
      </w:tr>
      <w:tr>
        <w:tblPrEx>
          <w:tblW w:w="8523" w:type="dxa"/>
          <w:jc w:val="center"/>
          <w:shd w:val="clear" w:color="auto" w:fill="auto"/>
          <w:tblCellMar>
            <w:top w:w="15" w:type="dxa"/>
            <w:left w:w="15" w:type="dxa"/>
            <w:bottom w:w="15" w:type="dxa"/>
            <w:right w:w="15" w:type="dxa"/>
          </w:tblCellMar>
        </w:tblPrEx>
        <w:trPr>
          <w:trHeight w:val="0"/>
          <w:jc w:val="center"/>
        </w:trPr>
        <w:tc>
          <w:tcPr>
            <w:tcW w:w="942" w:type="dxa"/>
            <w:vMerge/>
            <w:tcBorders>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04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观察评估员</w:t>
            </w:r>
          </w:p>
        </w:tc>
        <w:tc>
          <w:tcPr>
            <w:tcW w:w="3388"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质量管理部指派人员</w:t>
            </w:r>
          </w:p>
        </w:tc>
        <w:tc>
          <w:tcPr>
            <w:tcW w:w="314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独立记录过程，对照SLA和制度进行符合性评估，提供客观评价。</w:t>
            </w:r>
          </w:p>
        </w:tc>
      </w:tr>
    </w:tbl>
    <w:p>
      <w:pPr>
        <w:pStyle w:val="2"/>
        <w:bidi w:val="0"/>
        <w:rPr>
          <w:rFonts w:hint="default"/>
          <w:lang w:val="en-US" w:eastAsia="zh-CN"/>
        </w:rPr>
      </w:pPr>
      <w:bookmarkStart w:id="10" w:name="_Toc32598"/>
      <w:r>
        <w:rPr>
          <w:rFonts w:hint="default"/>
          <w:lang w:val="en-US" w:eastAsia="zh-CN"/>
        </w:rPr>
        <w:t>参演角色职责矩阵</w:t>
      </w:r>
      <w:bookmarkEnd w:id="10"/>
    </w:p>
    <w:p>
      <w:pPr>
        <w:pStyle w:val="a1"/>
        <w:bidi w:val="0"/>
        <w:rPr>
          <w:rFonts w:hint="default"/>
          <w:lang w:val="en-US" w:eastAsia="zh-CN"/>
        </w:rPr>
      </w:pPr>
      <w:r>
        <w:rPr>
          <w:rFonts w:hint="default"/>
          <w:lang w:val="en-US" w:eastAsia="zh-CN"/>
        </w:rPr>
        <w:t>演练中，各角色除履行《人员岗位说明书》和《项目合同》中的常规职责外，还需承担以下演练专项职责：</w:t>
      </w:r>
    </w:p>
    <w:p>
      <w:pPr>
        <w:pStyle w:val="a1"/>
        <w:bidi w:val="0"/>
        <w:rPr>
          <w:rFonts w:hint="default"/>
          <w:lang w:val="en-US" w:eastAsia="zh-CN"/>
        </w:rPr>
      </w:pPr>
      <w:r>
        <w:rPr>
          <w:rFonts w:hint="default"/>
          <w:lang w:val="en-US" w:eastAsia="zh-CN"/>
        </w:rPr>
        <w:t>服务台专员：模拟真实事件接报、定级、上报流程；执行对外（模拟甲方）沟通脚本。</w:t>
      </w:r>
    </w:p>
    <w:p>
      <w:pPr>
        <w:pStyle w:val="a1"/>
        <w:bidi w:val="0"/>
        <w:rPr>
          <w:rFonts w:hint="default"/>
          <w:lang w:val="en-US" w:eastAsia="zh-CN"/>
        </w:rPr>
      </w:pPr>
      <w:r>
        <w:rPr>
          <w:rFonts w:hint="default"/>
          <w:lang w:val="en-US" w:eastAsia="zh-CN"/>
        </w:rPr>
        <w:t>运维工程师：执行技术排查、故障隔离、系统恢复等具体操作；与研发团队协作。</w:t>
      </w:r>
    </w:p>
    <w:p>
      <w:pPr>
        <w:pStyle w:val="a1"/>
        <w:bidi w:val="0"/>
        <w:rPr>
          <w:rFonts w:hint="default"/>
          <w:lang w:val="en-US" w:eastAsia="zh-CN"/>
        </w:rPr>
      </w:pPr>
      <w:r>
        <w:rPr>
          <w:rFonts w:hint="default"/>
          <w:lang w:val="en-US" w:eastAsia="zh-CN"/>
        </w:rPr>
        <w:t>研究总院：提供深度技术分析，模拟代码级修复或方案提供。</w:t>
      </w:r>
    </w:p>
    <w:p>
      <w:pPr>
        <w:pStyle w:val="a1"/>
        <w:bidi w:val="0"/>
        <w:rPr>
          <w:rFonts w:hint="default"/>
          <w:lang w:val="en-US" w:eastAsia="zh-CN"/>
        </w:rPr>
      </w:pPr>
      <w:r>
        <w:rPr>
          <w:rFonts w:hint="default"/>
          <w:lang w:val="en-US" w:eastAsia="zh-CN"/>
        </w:rPr>
        <w:t>服务知识专员：全程记录可标准化的操作步骤和决策点，演练后牵头知识条目转化。</w:t>
      </w:r>
    </w:p>
    <w:p>
      <w:pPr>
        <w:pStyle w:val="a1"/>
        <w:bidi w:val="0"/>
        <w:rPr>
          <w:rFonts w:hint="default"/>
          <w:lang w:val="en-US" w:eastAsia="zh-CN"/>
        </w:rPr>
      </w:pPr>
      <w:r>
        <w:rPr>
          <w:rFonts w:hint="default"/>
          <w:lang w:val="en-US" w:eastAsia="zh-CN"/>
        </w:rPr>
        <w:t>质量管理专员：作为独立观察员，记录时间线、流程断裂点及不符合项。</w:t>
      </w:r>
    </w:p>
    <w:p>
      <w:pPr>
        <w:pStyle w:val="1"/>
        <w:bidi w:val="0"/>
        <w:rPr>
          <w:rFonts w:hint="default"/>
          <w:lang w:val="en-US" w:eastAsia="zh-CN"/>
        </w:rPr>
      </w:pPr>
      <w:bookmarkStart w:id="11" w:name="_Toc9369"/>
      <w:r>
        <w:rPr>
          <w:rFonts w:hint="default"/>
          <w:lang w:val="en-US" w:eastAsia="zh-CN"/>
        </w:rPr>
        <w:t>演练内容与场景</w:t>
      </w:r>
      <w:bookmarkEnd w:id="11"/>
    </w:p>
    <w:p>
      <w:pPr>
        <w:pStyle w:val="2"/>
        <w:bidi w:val="0"/>
        <w:rPr>
          <w:rFonts w:hint="default"/>
          <w:lang w:val="en-US" w:eastAsia="zh-CN"/>
        </w:rPr>
      </w:pPr>
      <w:bookmarkStart w:id="12" w:name="_Toc22589"/>
      <w:r>
        <w:rPr>
          <w:rFonts w:hint="default"/>
          <w:lang w:val="en-US" w:eastAsia="zh-CN"/>
        </w:rPr>
        <w:t>演练类型</w:t>
      </w:r>
      <w:bookmarkEnd w:id="12"/>
    </w:p>
    <w:p>
      <w:pPr>
        <w:pStyle w:val="a1"/>
        <w:bidi w:val="0"/>
        <w:rPr>
          <w:rFonts w:hint="default"/>
          <w:lang w:val="en-US" w:eastAsia="zh-CN"/>
        </w:rPr>
      </w:pPr>
      <w:r>
        <w:rPr>
          <w:rFonts w:hint="default"/>
          <w:lang w:val="en-US" w:eastAsia="zh-CN"/>
        </w:rPr>
        <w:t>桌面推演：针对新预案、复杂流程或新团队，以研讨会形式进行流程推演和角色熟悉。</w:t>
      </w:r>
    </w:p>
    <w:p>
      <w:pPr>
        <w:pStyle w:val="a1"/>
        <w:bidi w:val="0"/>
        <w:rPr>
          <w:rFonts w:hint="default"/>
          <w:lang w:val="en-US" w:eastAsia="zh-CN"/>
        </w:rPr>
      </w:pPr>
      <w:r>
        <w:rPr>
          <w:rFonts w:hint="default"/>
          <w:lang w:val="en-US" w:eastAsia="zh-CN"/>
        </w:rPr>
        <w:t>模拟演练：在测试环境中模拟故障，技术团队进行真实技术操作，但无真实业务流量。</w:t>
      </w:r>
    </w:p>
    <w:p>
      <w:pPr>
        <w:pStyle w:val="a1"/>
        <w:bidi w:val="0"/>
        <w:rPr>
          <w:rFonts w:hint="default"/>
          <w:lang w:val="en-US" w:eastAsia="zh-CN"/>
        </w:rPr>
      </w:pPr>
      <w:r>
        <w:rPr>
          <w:rFonts w:hint="default"/>
          <w:lang w:val="en-US" w:eastAsia="zh-CN"/>
        </w:rPr>
        <w:t>实战演练：在约定的时间窗口内，对生产环境进行可控的故障注入，检验全流程真实响应能力（需经甲方书面批准）。</w:t>
      </w:r>
    </w:p>
    <w:p>
      <w:pPr>
        <w:pStyle w:val="2"/>
        <w:bidi w:val="0"/>
        <w:rPr>
          <w:rFonts w:hint="default"/>
          <w:lang w:val="en-US" w:eastAsia="zh-CN"/>
        </w:rPr>
      </w:pPr>
      <w:bookmarkStart w:id="13" w:name="_Toc16885"/>
      <w:r>
        <w:rPr>
          <w:rFonts w:hint="default"/>
          <w:lang w:val="en-US" w:eastAsia="zh-CN"/>
        </w:rPr>
        <w:t>核心演练场景方向</w:t>
      </w:r>
      <w:bookmarkEnd w:id="13"/>
    </w:p>
    <w:p>
      <w:pPr>
        <w:pStyle w:val="a1"/>
        <w:bidi w:val="0"/>
        <w:rPr>
          <w:rFonts w:hint="default"/>
          <w:lang w:val="en-US" w:eastAsia="zh-CN"/>
        </w:rPr>
      </w:pPr>
      <w:r>
        <w:rPr>
          <w:rFonts w:hint="default"/>
          <w:lang w:val="en-US" w:eastAsia="zh-CN"/>
        </w:rPr>
        <w:t>场景设计应源自《项目合同》服务范围及《知识库》中的高频、高影响问题，至少覆盖以下方向：</w:t>
      </w:r>
    </w:p>
    <w:p>
      <w:pPr>
        <w:pStyle w:val="a1"/>
        <w:bidi w:val="0"/>
        <w:rPr>
          <w:rFonts w:hint="default"/>
          <w:lang w:val="en-US" w:eastAsia="zh-CN"/>
        </w:rPr>
      </w:pPr>
      <w:r>
        <w:rPr>
          <w:rFonts w:hint="default"/>
          <w:lang w:val="en-US" w:eastAsia="zh-CN"/>
        </w:rPr>
        <w:t>应用层灾难：核心模块（如财务、供应链）服务大面积不可用（对应合同P1级事件）。</w:t>
      </w:r>
    </w:p>
    <w:p>
      <w:pPr>
        <w:pStyle w:val="a1"/>
        <w:bidi w:val="0"/>
        <w:rPr>
          <w:rFonts w:hint="default"/>
          <w:lang w:val="en-US" w:eastAsia="zh-CN"/>
        </w:rPr>
      </w:pPr>
      <w:r>
        <w:rPr>
          <w:rFonts w:hint="default"/>
          <w:lang w:val="en-US" w:eastAsia="zh-CN"/>
        </w:rPr>
        <w:t>数据异常与丢失：关键数据错误、批量丢失或数据同步中断。</w:t>
      </w:r>
    </w:p>
    <w:p>
      <w:pPr>
        <w:pStyle w:val="a1"/>
        <w:bidi w:val="0"/>
        <w:rPr>
          <w:rFonts w:hint="default"/>
          <w:lang w:val="en-US" w:eastAsia="zh-CN"/>
        </w:rPr>
      </w:pPr>
      <w:r>
        <w:rPr>
          <w:rFonts w:hint="default"/>
          <w:lang w:val="en-US" w:eastAsia="zh-CN"/>
        </w:rPr>
        <w:t>集成接口故障：与SAP、司库等关键外围系统的接口持续性失败。</w:t>
      </w:r>
    </w:p>
    <w:p>
      <w:pPr>
        <w:pStyle w:val="a1"/>
        <w:bidi w:val="0"/>
        <w:rPr>
          <w:rFonts w:hint="default"/>
          <w:lang w:val="en-US" w:eastAsia="zh-CN"/>
        </w:rPr>
      </w:pPr>
      <w:r>
        <w:rPr>
          <w:rFonts w:hint="default"/>
          <w:lang w:val="en-US" w:eastAsia="zh-CN"/>
        </w:rPr>
        <w:t>安全应急事件：模拟遭遇恶意攻击或数据泄露征兆时的应急响应。</w:t>
      </w:r>
    </w:p>
    <w:p>
      <w:pPr>
        <w:pStyle w:val="a1"/>
        <w:bidi w:val="0"/>
        <w:rPr>
          <w:rFonts w:hint="default"/>
          <w:lang w:val="en-US" w:eastAsia="zh-CN"/>
        </w:rPr>
      </w:pPr>
      <w:r>
        <w:rPr>
          <w:rFonts w:hint="default"/>
          <w:lang w:val="en-US" w:eastAsia="zh-CN"/>
        </w:rPr>
        <w:t>复合型灾难：上述两种或多种情况同时发生。</w:t>
      </w:r>
    </w:p>
    <w:p>
      <w:pPr>
        <w:pStyle w:val="2"/>
        <w:bidi w:val="0"/>
        <w:rPr>
          <w:rFonts w:hint="default"/>
          <w:lang w:val="en-US" w:eastAsia="zh-CN"/>
        </w:rPr>
      </w:pPr>
      <w:bookmarkStart w:id="14" w:name="_Toc27157"/>
      <w:r>
        <w:rPr>
          <w:rFonts w:hint="default"/>
          <w:lang w:val="en-US" w:eastAsia="zh-CN"/>
        </w:rPr>
        <w:t>场景设计要素</w:t>
      </w:r>
      <w:bookmarkEnd w:id="14"/>
    </w:p>
    <w:p>
      <w:pPr>
        <w:pStyle w:val="a1"/>
        <w:bidi w:val="0"/>
        <w:rPr>
          <w:rFonts w:hint="default"/>
          <w:lang w:val="en-US" w:eastAsia="zh-CN"/>
        </w:rPr>
      </w:pPr>
      <w:r>
        <w:rPr>
          <w:rFonts w:hint="default"/>
          <w:lang w:val="en-US" w:eastAsia="zh-CN"/>
        </w:rPr>
        <w:t>每个演练场景设计文档必须明确：</w:t>
      </w:r>
    </w:p>
    <w:p>
      <w:pPr>
        <w:pStyle w:val="a1"/>
        <w:bidi w:val="0"/>
        <w:rPr>
          <w:rFonts w:hint="default"/>
          <w:lang w:val="en-US" w:eastAsia="zh-CN"/>
        </w:rPr>
      </w:pPr>
      <w:r>
        <w:rPr>
          <w:rFonts w:hint="default"/>
          <w:lang w:val="en-US" w:eastAsia="zh-CN"/>
        </w:rPr>
        <w:t>场景名称与编号</w:t>
      </w:r>
    </w:p>
    <w:p>
      <w:pPr>
        <w:pStyle w:val="a1"/>
        <w:bidi w:val="0"/>
        <w:rPr>
          <w:rFonts w:hint="default"/>
          <w:lang w:val="en-US" w:eastAsia="zh-CN"/>
        </w:rPr>
      </w:pPr>
      <w:r>
        <w:rPr>
          <w:rFonts w:hint="default"/>
          <w:lang w:val="en-US" w:eastAsia="zh-CN"/>
        </w:rPr>
        <w:t>模拟故障现象与业务影响</w:t>
      </w:r>
    </w:p>
    <w:p>
      <w:pPr>
        <w:pStyle w:val="a1"/>
        <w:bidi w:val="0"/>
        <w:rPr>
          <w:rFonts w:hint="default"/>
          <w:lang w:val="en-US" w:eastAsia="zh-CN"/>
        </w:rPr>
      </w:pPr>
      <w:r>
        <w:rPr>
          <w:rFonts w:hint="default"/>
          <w:lang w:val="en-US" w:eastAsia="zh-CN"/>
        </w:rPr>
        <w:t>触发条件与方式</w:t>
      </w:r>
    </w:p>
    <w:p>
      <w:pPr>
        <w:pStyle w:val="a1"/>
        <w:bidi w:val="0"/>
        <w:rPr>
          <w:rFonts w:hint="default"/>
          <w:lang w:val="en-US" w:eastAsia="zh-CN"/>
        </w:rPr>
      </w:pPr>
      <w:r>
        <w:rPr>
          <w:rFonts w:hint="default"/>
          <w:lang w:val="en-US" w:eastAsia="zh-CN"/>
        </w:rPr>
        <w:t>预期触发的应急预案</w:t>
      </w:r>
    </w:p>
    <w:p>
      <w:pPr>
        <w:pStyle w:val="a1"/>
        <w:bidi w:val="0"/>
        <w:rPr>
          <w:rFonts w:hint="default"/>
          <w:lang w:val="en-US" w:eastAsia="zh-CN"/>
        </w:rPr>
      </w:pPr>
      <w:r>
        <w:rPr>
          <w:rFonts w:hint="default"/>
          <w:lang w:val="en-US" w:eastAsia="zh-CN"/>
        </w:rPr>
        <w:t>需验证的关键SLA指标（如响应时间、恢复时间）</w:t>
      </w:r>
    </w:p>
    <w:p>
      <w:pPr>
        <w:pStyle w:val="a1"/>
        <w:bidi w:val="0"/>
        <w:rPr>
          <w:rFonts w:hint="default"/>
          <w:lang w:val="en-US" w:eastAsia="zh-CN"/>
        </w:rPr>
      </w:pPr>
      <w:r>
        <w:rPr>
          <w:rFonts w:hint="default"/>
          <w:lang w:val="en-US" w:eastAsia="zh-CN"/>
        </w:rPr>
        <w:t>评估要点（沟通、决策、技术操作、协同）</w:t>
      </w:r>
    </w:p>
    <w:p>
      <w:pPr>
        <w:pStyle w:val="1"/>
        <w:bidi w:val="0"/>
        <w:rPr>
          <w:rFonts w:hint="default"/>
          <w:lang w:val="en-US" w:eastAsia="zh-CN"/>
        </w:rPr>
      </w:pPr>
      <w:bookmarkStart w:id="15" w:name="_Toc10320"/>
      <w:r>
        <w:rPr>
          <w:rFonts w:hint="default"/>
          <w:lang w:val="en-US" w:eastAsia="zh-CN"/>
        </w:rPr>
        <w:t>演练流程</w:t>
      </w:r>
      <w:bookmarkEnd w:id="15"/>
    </w:p>
    <w:p>
      <w:pPr>
        <w:pStyle w:val="2"/>
        <w:bidi w:val="0"/>
        <w:rPr>
          <w:rFonts w:hint="default"/>
          <w:lang w:val="en-US" w:eastAsia="zh-CN"/>
        </w:rPr>
      </w:pPr>
      <w:bookmarkStart w:id="16" w:name="_Toc22141"/>
      <w:r>
        <w:rPr>
          <w:rFonts w:hint="default"/>
          <w:lang w:val="en-US" w:eastAsia="zh-CN"/>
        </w:rPr>
        <w:t>标准演练阶段</w:t>
      </w:r>
      <w:bookmarkEnd w:id="16"/>
    </w:p>
    <w:p>
      <w:pPr>
        <w:pStyle w:val="a1"/>
        <w:bidi w:val="0"/>
        <w:rPr>
          <w:rFonts w:hint="default"/>
          <w:lang w:val="en-US" w:eastAsia="zh-CN"/>
        </w:rPr>
      </w:pPr>
      <w:r>
        <w:rPr>
          <w:rFonts w:hint="default"/>
          <w:lang w:val="en-US" w:eastAsia="zh-CN"/>
        </w:rPr>
        <w:t>所有演练应遵循“PDCA”循环，包含以下四个阶段：</w:t>
      </w:r>
    </w:p>
    <w:p>
      <w:pPr>
        <w:pStyle w:val="a1"/>
        <w:bidi w:val="0"/>
        <w:rPr>
          <w:rFonts w:hint="default"/>
          <w:lang w:val="en-US" w:eastAsia="zh-CN"/>
        </w:rPr>
      </w:pPr>
      <w:r>
        <w:rPr>
          <w:rFonts w:hint="default"/>
          <w:lang w:val="en-US" w:eastAsia="zh-CN"/>
        </w:rPr>
        <w:t>策划阶段:基于本大纲制定《应急演练计划》与详细的《应急演练预案》。</w:t>
      </w:r>
    </w:p>
    <w:p>
      <w:pPr>
        <w:pStyle w:val="a1"/>
        <w:bidi w:val="0"/>
        <w:rPr>
          <w:rFonts w:hint="default"/>
          <w:lang w:val="en-US" w:eastAsia="zh-CN"/>
        </w:rPr>
      </w:pPr>
      <w:r>
        <w:rPr>
          <w:rFonts w:hint="default"/>
          <w:lang w:val="en-US" w:eastAsia="zh-CN"/>
        </w:rPr>
        <w:t>实施阶段:按照预案执行演练，包括启动、处置、恢复、终止等环节。</w:t>
      </w:r>
    </w:p>
    <w:p>
      <w:pPr>
        <w:pStyle w:val="a1"/>
        <w:bidi w:val="0"/>
        <w:rPr>
          <w:rFonts w:hint="default"/>
          <w:lang w:val="en-US" w:eastAsia="zh-CN"/>
        </w:rPr>
      </w:pPr>
      <w:r>
        <w:rPr>
          <w:rFonts w:hint="default"/>
          <w:lang w:val="en-US" w:eastAsia="zh-CN"/>
        </w:rPr>
        <w:t>评估阶段:演练后立即进行复盘，生成《应急演练报告》，评估成效与不足。</w:t>
      </w:r>
    </w:p>
    <w:p>
      <w:pPr>
        <w:pStyle w:val="a1"/>
        <w:bidi w:val="0"/>
        <w:rPr>
          <w:rFonts w:hint="default"/>
          <w:lang w:val="en-US" w:eastAsia="zh-CN"/>
        </w:rPr>
      </w:pPr>
      <w:r>
        <w:rPr>
          <w:rFonts w:hint="default"/>
          <w:lang w:val="en-US" w:eastAsia="zh-CN"/>
        </w:rPr>
        <w:t>改进阶段:</w:t>
      </w:r>
      <w:bookmarkStart w:id="17" w:name="_GoBack"/>
      <w:bookmarkEnd w:id="17"/>
      <w:r>
        <w:rPr>
          <w:rFonts w:hint="default"/>
          <w:lang w:val="en-US" w:eastAsia="zh-CN"/>
        </w:rPr>
        <w:t>基于报告制定《应急演练改进报告》，跟踪改进措施直至闭环，并更新相关预案与知识库。</w:t>
      </w:r>
    </w:p>
    <w:p>
      <w:pPr>
        <w:pStyle w:val="2"/>
        <w:bidi w:val="0"/>
        <w:rPr>
          <w:rFonts w:hint="default"/>
          <w:lang w:val="en-US" w:eastAsia="zh-CN"/>
        </w:rPr>
      </w:pPr>
      <w:bookmarkStart w:id="18" w:name="_Toc11084"/>
      <w:r>
        <w:rPr>
          <w:rFonts w:hint="default"/>
          <w:lang w:val="en-US" w:eastAsia="zh-CN"/>
        </w:rPr>
        <w:t>关键流程节点控制</w:t>
      </w:r>
      <w:bookmarkEnd w:id="18"/>
    </w:p>
    <w:p>
      <w:pPr>
        <w:pStyle w:val="a1"/>
        <w:bidi w:val="0"/>
        <w:rPr>
          <w:rFonts w:hint="default"/>
          <w:lang w:val="en-US" w:eastAsia="zh-CN"/>
        </w:rPr>
      </w:pPr>
      <w:r>
        <w:rPr>
          <w:rFonts w:hint="default"/>
          <w:lang w:val="en-US" w:eastAsia="zh-CN"/>
        </w:rPr>
        <w:t>启动会：演练前召开，宣贯目标、角色、规则和安全事项。</w:t>
      </w:r>
    </w:p>
    <w:p>
      <w:pPr>
        <w:pStyle w:val="a1"/>
        <w:bidi w:val="0"/>
        <w:rPr>
          <w:rFonts w:hint="default"/>
          <w:lang w:val="en-US" w:eastAsia="zh-CN"/>
        </w:rPr>
      </w:pPr>
      <w:r>
        <w:rPr>
          <w:rFonts w:hint="default"/>
          <w:lang w:val="en-US" w:eastAsia="zh-CN"/>
        </w:rPr>
        <w:t>过程控制：工作小组组长控制演练节奏，观察评估员独立记录。</w:t>
      </w:r>
    </w:p>
    <w:p>
      <w:pPr>
        <w:pStyle w:val="a1"/>
        <w:bidi w:val="0"/>
        <w:rPr>
          <w:rFonts w:hint="default"/>
          <w:lang w:val="en-US" w:eastAsia="zh-CN"/>
        </w:rPr>
      </w:pPr>
      <w:r>
        <w:rPr>
          <w:rFonts w:hint="default"/>
          <w:lang w:val="en-US" w:eastAsia="zh-CN"/>
        </w:rPr>
        <w:t>终止条件：达到预定目标、成功恢复业务或发生不可控风险时，由领导小组组长宣布终止。</w:t>
      </w:r>
    </w:p>
    <w:p>
      <w:pPr>
        <w:pStyle w:val="a1"/>
        <w:bidi w:val="0"/>
        <w:rPr>
          <w:rFonts w:hint="default"/>
          <w:lang w:val="en-US" w:eastAsia="zh-CN"/>
        </w:rPr>
      </w:pPr>
      <w:r>
        <w:rPr>
          <w:rFonts w:hint="default"/>
          <w:lang w:val="en-US" w:eastAsia="zh-CN"/>
        </w:rPr>
        <w:t>即时复盘：演练结束后24小时内，所有参演人员集中进行“热复盘”。</w:t>
      </w:r>
    </w:p>
    <w:p>
      <w:pPr>
        <w:pStyle w:val="1"/>
        <w:bidi w:val="0"/>
        <w:rPr>
          <w:rFonts w:hint="default"/>
          <w:lang w:val="en-US" w:eastAsia="zh-CN"/>
        </w:rPr>
      </w:pPr>
      <w:bookmarkStart w:id="19" w:name="_Toc268"/>
      <w:r>
        <w:rPr>
          <w:rFonts w:hint="default"/>
          <w:lang w:val="en-US" w:eastAsia="zh-CN"/>
        </w:rPr>
        <w:t>演练评估与改进</w:t>
      </w:r>
      <w:bookmarkEnd w:id="19"/>
    </w:p>
    <w:p>
      <w:pPr>
        <w:pStyle w:val="2"/>
        <w:bidi w:val="0"/>
        <w:rPr>
          <w:rFonts w:hint="default"/>
          <w:lang w:val="en-US" w:eastAsia="zh-CN"/>
        </w:rPr>
      </w:pPr>
      <w:bookmarkStart w:id="20" w:name="_Toc27833"/>
      <w:r>
        <w:rPr>
          <w:rFonts w:hint="default"/>
          <w:lang w:val="en-US" w:eastAsia="zh-CN"/>
        </w:rPr>
        <w:t>评估维度</w:t>
      </w:r>
      <w:bookmarkEnd w:id="20"/>
    </w:p>
    <w:p>
      <w:pPr>
        <w:pStyle w:val="a1"/>
        <w:bidi w:val="0"/>
        <w:rPr>
          <w:rFonts w:hint="default"/>
          <w:lang w:val="en-US" w:eastAsia="zh-CN"/>
        </w:rPr>
      </w:pPr>
      <w:r>
        <w:rPr>
          <w:rFonts w:hint="default"/>
          <w:lang w:val="en-US" w:eastAsia="zh-CN"/>
        </w:rPr>
        <w:t>时效性评估：对比实际响应与恢复时间同合同SLA及预案目标的差距。</w:t>
      </w:r>
    </w:p>
    <w:p>
      <w:pPr>
        <w:pStyle w:val="a1"/>
        <w:bidi w:val="0"/>
        <w:rPr>
          <w:rFonts w:hint="default"/>
          <w:lang w:val="en-US" w:eastAsia="zh-CN"/>
        </w:rPr>
      </w:pPr>
      <w:r>
        <w:rPr>
          <w:rFonts w:hint="default"/>
          <w:lang w:val="en-US" w:eastAsia="zh-CN"/>
        </w:rPr>
        <w:t>流程符合性评估：检查实际操作与《运维应急管理制度》及既定预案的符合程度。</w:t>
      </w:r>
    </w:p>
    <w:p>
      <w:pPr>
        <w:pStyle w:val="a1"/>
        <w:bidi w:val="0"/>
        <w:rPr>
          <w:rFonts w:hint="default"/>
          <w:lang w:val="en-US" w:eastAsia="zh-CN"/>
        </w:rPr>
      </w:pPr>
      <w:r>
        <w:rPr>
          <w:rFonts w:hint="default"/>
          <w:lang w:val="en-US" w:eastAsia="zh-CN"/>
        </w:rPr>
        <w:t>决策与沟通评估：评估指挥决策链是否清晰、高效，内外部沟通是否及时、准确。</w:t>
      </w:r>
    </w:p>
    <w:p>
      <w:pPr>
        <w:pStyle w:val="a1"/>
        <w:bidi w:val="0"/>
        <w:rPr>
          <w:rFonts w:hint="default"/>
          <w:lang w:val="en-US" w:eastAsia="zh-CN"/>
        </w:rPr>
      </w:pPr>
      <w:r>
        <w:rPr>
          <w:rFonts w:hint="default"/>
          <w:lang w:val="en-US" w:eastAsia="zh-CN"/>
        </w:rPr>
        <w:t>技术操作评估：评估技术诊断的准确性、恢复方案的有效性和操作规范性。</w:t>
      </w:r>
    </w:p>
    <w:p>
      <w:pPr>
        <w:pStyle w:val="a1"/>
        <w:bidi w:val="0"/>
        <w:rPr>
          <w:rFonts w:hint="default"/>
          <w:lang w:val="en-US" w:eastAsia="zh-CN"/>
        </w:rPr>
      </w:pPr>
      <w:r>
        <w:rPr>
          <w:rFonts w:hint="default"/>
          <w:lang w:val="en-US" w:eastAsia="zh-CN"/>
        </w:rPr>
        <w:t>协同能力评估：评估跨团队协作、信息共享的顺畅程度。</w:t>
      </w:r>
    </w:p>
    <w:p>
      <w:pPr>
        <w:pStyle w:val="2"/>
        <w:bidi w:val="0"/>
        <w:rPr>
          <w:rFonts w:hint="default"/>
          <w:lang w:val="en-US" w:eastAsia="zh-CN"/>
        </w:rPr>
      </w:pPr>
      <w:bookmarkStart w:id="21" w:name="_Toc26267"/>
      <w:r>
        <w:rPr>
          <w:rFonts w:hint="default"/>
          <w:lang w:val="en-US" w:eastAsia="zh-CN"/>
        </w:rPr>
        <w:t>成果输出</w:t>
      </w:r>
      <w:bookmarkEnd w:id="21"/>
    </w:p>
    <w:p>
      <w:pPr>
        <w:pStyle w:val="a1"/>
        <w:bidi w:val="0"/>
        <w:rPr>
          <w:rFonts w:hint="default"/>
          <w:lang w:val="en-US" w:eastAsia="zh-CN"/>
        </w:rPr>
      </w:pPr>
      <w:r>
        <w:rPr>
          <w:rFonts w:hint="default"/>
          <w:lang w:val="en-US" w:eastAsia="zh-CN"/>
        </w:rPr>
        <w:t>《应急演练报告》：必须包含事件时间线、评估数据、根本原因分析（模拟）、成功经验、暴露问题及初步改进建议。</w:t>
      </w:r>
    </w:p>
    <w:p>
      <w:pPr>
        <w:pStyle w:val="a1"/>
        <w:bidi w:val="0"/>
        <w:rPr>
          <w:rFonts w:hint="default"/>
          <w:lang w:val="en-US" w:eastAsia="zh-CN"/>
        </w:rPr>
      </w:pPr>
      <w:r>
        <w:rPr>
          <w:rFonts w:hint="default"/>
          <w:lang w:val="en-US" w:eastAsia="zh-CN"/>
        </w:rPr>
        <w:t>《应急演练改进报告》：必须将《演练报告》中的改进建议转化为具体的、可跟踪的改进项，明确责任人、完成时限和验收标准。</w:t>
      </w:r>
    </w:p>
    <w:p>
      <w:pPr>
        <w:pStyle w:val="a1"/>
        <w:bidi w:val="0"/>
        <w:rPr>
          <w:rFonts w:hint="default"/>
          <w:lang w:val="en-US" w:eastAsia="zh-CN"/>
        </w:rPr>
      </w:pPr>
      <w:r>
        <w:rPr>
          <w:rFonts w:hint="default"/>
          <w:lang w:val="en-US" w:eastAsia="zh-CN"/>
        </w:rPr>
        <w:t>知识库资产：新增或更新至少一个结构化的应急知识条目（含场景、步骤、脚本）。</w:t>
      </w:r>
    </w:p>
    <w:p>
      <w:pPr>
        <w:pStyle w:val="2"/>
        <w:bidi w:val="0"/>
        <w:rPr>
          <w:rFonts w:hint="default"/>
          <w:lang w:val="en-US" w:eastAsia="zh-CN"/>
        </w:rPr>
      </w:pPr>
      <w:bookmarkStart w:id="22" w:name="_Toc30507"/>
      <w:r>
        <w:rPr>
          <w:rFonts w:hint="default"/>
          <w:lang w:val="en-US" w:eastAsia="zh-CN"/>
        </w:rPr>
        <w:t>改进跟踪</w:t>
      </w:r>
      <w:bookmarkEnd w:id="22"/>
    </w:p>
    <w:p>
      <w:pPr>
        <w:pStyle w:val="a1"/>
        <w:bidi w:val="0"/>
        <w:rPr>
          <w:rFonts w:hint="default"/>
          <w:lang w:val="en-US" w:eastAsia="zh-CN"/>
        </w:rPr>
      </w:pPr>
      <w:r>
        <w:rPr>
          <w:rFonts w:hint="default"/>
          <w:lang w:val="en-US" w:eastAsia="zh-CN"/>
        </w:rPr>
        <w:t>改进项纳入公司统一的服务改进跟踪体系。</w:t>
      </w:r>
    </w:p>
    <w:p>
      <w:pPr>
        <w:pStyle w:val="a1"/>
        <w:bidi w:val="0"/>
        <w:rPr>
          <w:rFonts w:hint="default"/>
          <w:lang w:val="en-US" w:eastAsia="zh-CN"/>
        </w:rPr>
      </w:pPr>
      <w:r>
        <w:rPr>
          <w:rFonts w:hint="default"/>
          <w:lang w:val="en-US" w:eastAsia="zh-CN"/>
        </w:rPr>
        <w:t>质量管理部负责监督改进措施的落实与验证。</w:t>
      </w:r>
    </w:p>
    <w:p>
      <w:pPr>
        <w:pStyle w:val="a1"/>
        <w:bidi w:val="0"/>
        <w:rPr>
          <w:rFonts w:hint="default"/>
          <w:lang w:val="en-US" w:eastAsia="zh-CN"/>
        </w:rPr>
      </w:pPr>
      <w:r>
        <w:rPr>
          <w:rFonts w:hint="default"/>
          <w:lang w:val="en-US" w:eastAsia="zh-CN"/>
        </w:rPr>
        <w:t>重要改进措施应触发对《应急预案》、《运维手册》等相关文件的修订。</w:t>
      </w:r>
    </w:p>
    <w:p>
      <w:pPr>
        <w:pStyle w:val="1"/>
        <w:bidi w:val="0"/>
        <w:rPr>
          <w:rFonts w:hint="default"/>
          <w:lang w:val="en-US" w:eastAsia="zh-CN"/>
        </w:rPr>
      </w:pPr>
      <w:bookmarkStart w:id="23" w:name="_Toc27655"/>
      <w:r>
        <w:rPr>
          <w:rFonts w:hint="default"/>
          <w:lang w:val="en-US" w:eastAsia="zh-CN"/>
        </w:rPr>
        <w:t>附则</w:t>
      </w:r>
      <w:bookmarkEnd w:id="23"/>
    </w:p>
    <w:p>
      <w:pPr>
        <w:pStyle w:val="a1"/>
        <w:bidi w:val="0"/>
        <w:rPr>
          <w:rFonts w:hint="default"/>
          <w:lang w:val="en-US" w:eastAsia="zh-CN"/>
        </w:rPr>
      </w:pPr>
      <w:r>
        <w:rPr>
          <w:rFonts w:hint="default"/>
          <w:lang w:val="en-US" w:eastAsia="zh-CN"/>
        </w:rPr>
        <w:t>本大纲每年至少评审一次。当项目范围、组织架构、合同SLA或上级制度发生重大变更时，应及时修订。</w:t>
      </w:r>
    </w:p>
    <w:p>
      <w:pPr>
        <w:pStyle w:val="a1"/>
        <w:bidi w:val="0"/>
        <w:rPr>
          <w:rFonts w:hint="default"/>
          <w:lang w:val="en-US" w:eastAsia="zh-CN"/>
        </w:rPr>
      </w:pPr>
      <w:r>
        <w:rPr>
          <w:rFonts w:hint="default"/>
          <w:lang w:val="en-US" w:eastAsia="zh-CN"/>
        </w:rPr>
        <w:t>本大纲由数智运营部负责解释。</w:t>
      </w:r>
    </w:p>
    <w:p>
      <w:pPr>
        <w:pStyle w:val="a1"/>
        <w:bidi w:val="0"/>
        <w:rPr>
          <w:rFonts w:hint="default"/>
          <w:lang w:val="en-US" w:eastAsia="zh-CN"/>
        </w:rPr>
      </w:pPr>
      <w:r>
        <w:rPr>
          <w:rFonts w:hint="default"/>
          <w:lang w:val="en-US" w:eastAsia="zh-CN"/>
        </w:rPr>
        <w:t>本大纲自发布之日起生效。</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2619</Words>
  <Characters>2762</Characters>
  <Application>Microsoft Office Word</Application>
  <DocSecurity>0</DocSecurity>
  <Lines>0</Lines>
  <Paragraphs>0</Paragraphs>
  <ScaleCrop>false</ScaleCrop>
  <Company/>
  <LinksUpToDate>false</LinksUpToDate>
  <CharactersWithSpaces>2818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2026-01-28T13:47:17Z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