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73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52"/>
      <w:r>
        <w:rPr>
          <w:rFonts w:hint="eastAsia"/>
          <w:lang w:val="en-US" w:eastAsia="zh-CN"/>
        </w:rPr>
        <w:t>翔云系统运维服务项目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7278"/>
      <w:r>
        <w:rPr>
          <w:rFonts w:hint="eastAsia"/>
          <w:lang w:val="en-US" w:eastAsia="zh-CN"/>
        </w:rPr>
        <w:t>应急演练预案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_Toc6734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</w:t>
          </w:r>
          <w:r>
            <w:tab/>
          </w:r>
          <w:r>
            <w:fldChar w:fldCharType="begin"/>
          </w:r>
          <w:r>
            <w:instrText xml:space="preserve"> PAGEREF _Toc3252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应急演练预案</w:t>
          </w:r>
          <w:r>
            <w:tab/>
          </w:r>
          <w:r>
            <w:fldChar w:fldCharType="begin"/>
          </w:r>
          <w:r>
            <w:instrText xml:space="preserve"> PAGEREF _Toc7278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_Toc18731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演练目的</w:t>
          </w:r>
          <w:r>
            <w:tab/>
          </w:r>
          <w:r>
            <w:fldChar w:fldCharType="begin"/>
          </w:r>
          <w:r>
            <w:instrText xml:space="preserve"> PAGEREF _Toc15654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演练类型</w:t>
          </w:r>
          <w:r>
            <w:tab/>
          </w:r>
          <w:r>
            <w:fldChar w:fldCharType="begin"/>
          </w:r>
          <w:r>
            <w:instrText xml:space="preserve"> PAGEREF _Toc2262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演练时间与地点</w:t>
          </w:r>
          <w:r>
            <w:tab/>
          </w:r>
          <w:r>
            <w:fldChar w:fldCharType="begin"/>
          </w:r>
          <w:r>
            <w:instrText xml:space="preserve"> PAGEREF _Toc11348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演练组织架构</w:t>
          </w:r>
          <w:r>
            <w:tab/>
          </w:r>
          <w:r>
            <w:fldChar w:fldCharType="begin"/>
          </w:r>
          <w:r>
            <w:instrText xml:space="preserve"> PAGEREF _Toc30175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应急管理部组成与职责（演练期间）</w:t>
          </w:r>
          <w:r>
            <w:tab/>
          </w:r>
          <w:r>
            <w:fldChar w:fldCharType="begin"/>
          </w:r>
          <w:r>
            <w:instrText xml:space="preserve"> PAGEREF _Toc26140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各执行团队及职责</w:t>
          </w:r>
          <w:r>
            <w:tab/>
          </w:r>
          <w:r>
            <w:fldChar w:fldCharType="begin"/>
          </w:r>
          <w:r>
            <w:instrText xml:space="preserve"> PAGEREF _Toc13304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演练场景与流程</w:t>
          </w:r>
          <w:r>
            <w:tab/>
          </w:r>
          <w:r>
            <w:fldChar w:fldCharType="begin"/>
          </w:r>
          <w:r>
            <w:instrText xml:space="preserve"> PAGEREF _Toc7967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模拟故障场景</w:t>
          </w:r>
          <w:r>
            <w:tab/>
          </w:r>
          <w:r>
            <w:fldChar w:fldCharType="begin"/>
          </w:r>
          <w:r>
            <w:instrText xml:space="preserve"> PAGEREF _Toc3622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演练阶段流程</w:t>
          </w:r>
          <w:r>
            <w:tab/>
          </w:r>
          <w:r>
            <w:fldChar w:fldCharType="begin"/>
          </w:r>
          <w:r>
            <w:instrText xml:space="preserve"> PAGEREF _Toc25484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评估、产出与准备</w:t>
          </w:r>
          <w:r>
            <w:tab/>
          </w:r>
          <w:r>
            <w:fldChar w:fldCharType="begin"/>
          </w:r>
          <w:r>
            <w:instrText xml:space="preserve"> PAGEREF _Toc8215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成功标准</w:t>
          </w:r>
          <w:r>
            <w:tab/>
          </w:r>
          <w:r>
            <w:fldChar w:fldCharType="begin"/>
          </w:r>
          <w:r>
            <w:instrText xml:space="preserve"> PAGEREF _Toc1965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核心交付物</w:t>
          </w:r>
          <w:r>
            <w:tab/>
          </w:r>
          <w:r>
            <w:fldChar w:fldCharType="begin"/>
          </w:r>
          <w:r>
            <w:instrText xml:space="preserve"> PAGEREF _Toc16122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演练准备与安全</w:t>
          </w:r>
          <w:r>
            <w:tab/>
          </w:r>
          <w:r>
            <w:fldChar w:fldCharType="begin"/>
          </w:r>
          <w:r>
            <w:instrText xml:space="preserve"> PAGEREF _Toc15829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前期准备 (演练前3个工作日完成)</w:t>
          </w:r>
          <w:r>
            <w:tab/>
          </w:r>
          <w:r>
            <w:fldChar w:fldCharType="begin"/>
          </w:r>
          <w:r>
            <w:instrText xml:space="preserve"> PAGEREF _Toc17963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安全保障</w:t>
          </w:r>
          <w:r>
            <w:tab/>
          </w:r>
          <w:r>
            <w:fldChar w:fldCharType="begin"/>
          </w:r>
          <w:r>
            <w:instrText xml:space="preserve"> PAGEREF _Toc1253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8731"/>
      <w:r>
        <w:rPr>
          <w:rFonts w:hint="default"/>
          <w:lang w:val="en-US" w:eastAsia="zh-CN"/>
        </w:rPr>
        <w:t>演练概述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5654"/>
      <w:r>
        <w:rPr>
          <w:rFonts w:hint="default"/>
          <w:lang w:val="en-US" w:eastAsia="zh-CN"/>
        </w:rPr>
        <w:t>演练目的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本次演练旨在真实检验并提升项目团队对“翔云系统核心财务模块瘫痪及关键外部接口中断”这一复合型P1级事件的应急响应能力。核心目标包括：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验证并固化从事件发现、上报、定级、应急管理部成立、协同处置、业务恢复、沟通报告的全流程。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实战测试各岗位在高压下的协同作战与决策执行能力，重点检验《运维应急管理制度》中“应急管理部”的指挥协调机制。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确保应急响应时效严格符合《项目合同》第四条第4.3款约定的P1级SLA标准。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生成标准化的应急操作知识条目，沉淀至项目知识库。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262"/>
      <w:r>
        <w:rPr>
          <w:rFonts w:hint="default"/>
          <w:lang w:val="en-US" w:eastAsia="zh-CN"/>
        </w:rPr>
        <w:t>演练类型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类型：模拟演练（在独立测试环境中进行）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方式：预先通知时间，但故障现象和演进过程对参演团队保密。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1348"/>
      <w:r>
        <w:rPr>
          <w:rFonts w:hint="default"/>
          <w:lang w:val="en-US" w:eastAsia="zh-CN"/>
        </w:rPr>
        <w:t>演练时间与地点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计划时间： 2025年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月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>日，下午14:00 - 17:00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演练地点：公司会议室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技术处置区：运维工位及研发远程支持端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客户沟通模拟端：指定会议室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30175"/>
      <w:r>
        <w:rPr>
          <w:rFonts w:hint="default"/>
          <w:lang w:val="en-US" w:eastAsia="zh-CN"/>
        </w:rPr>
        <w:t>演练组织架构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本演练严格按照《运维应急管理制度》第5章，在应急响应启动时临时成立“应急管理部”，作为演练期间的统一指挥与决策机构。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6140"/>
      <w:r>
        <w:rPr>
          <w:rFonts w:hint="default"/>
          <w:lang w:val="en-US" w:eastAsia="zh-CN"/>
        </w:rPr>
        <w:t>应急管理部组成与职责（演练期间）</w:t>
      </w:r>
      <w:bookmarkEnd w:id="8"/>
    </w:p>
    <w:tbl>
      <w:tblPr>
        <w:tblStyle w:val="TableNormal"/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7"/>
        <w:gridCol w:w="2032"/>
        <w:gridCol w:w="3867"/>
      </w:tblGrid>
      <w:tr>
        <w:tblPrEx>
          <w:tblW w:w="767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20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</w:t>
            </w:r>
          </w:p>
        </w:tc>
        <w:tc>
          <w:tcPr>
            <w:tcW w:w="38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</w:tr>
      <w:tr>
        <w:tblPrEx>
          <w:tblW w:w="767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指挥长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宣布启动/终止应急响应；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负责重大决策与资源最终协调；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授权对外关键沟通。</w:t>
            </w:r>
          </w:p>
        </w:tc>
      </w:tr>
      <w:tr>
        <w:tblPrEx>
          <w:tblW w:w="767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副指挥长/技术负责人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负责现场技术指挥与协调；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直接向指挥长汇报处置进展；。</w:t>
            </w:r>
          </w:p>
        </w:tc>
      </w:tr>
      <w:tr>
        <w:tblPrEx>
          <w:tblW w:w="767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成员（质量监督）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监督应急流程符合性；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提供独立的质量与风险建议；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主持或参与事后复盘。</w:t>
            </w:r>
          </w:p>
        </w:tc>
      </w:tr>
      <w:tr>
        <w:tblPrEx>
          <w:tblW w:w="767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成员（通讯协调）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管理服务通报组，确保内外信息流准确、及时；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负责应急管理部指令的传达与记录。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9" w:name="_Toc13304"/>
      <w:r>
        <w:rPr>
          <w:rFonts w:hint="default"/>
          <w:lang w:val="en-US" w:eastAsia="zh-CN"/>
        </w:rPr>
        <w:t>各执行团队及职责</w:t>
      </w:r>
      <w:bookmarkEnd w:id="9"/>
    </w:p>
    <w:tbl>
      <w:tblPr>
        <w:tblStyle w:val="TableNormal"/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1387"/>
        <w:gridCol w:w="1581"/>
        <w:gridCol w:w="4348"/>
      </w:tblGrid>
      <w:tr>
        <w:tblPrEx>
          <w:tblW w:w="850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8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核心角色</w:t>
            </w:r>
          </w:p>
        </w:tc>
        <w:tc>
          <w:tcPr>
            <w:tcW w:w="158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</w:t>
            </w:r>
          </w:p>
        </w:tc>
        <w:tc>
          <w:tcPr>
            <w:tcW w:w="4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主要演练职责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服务通报组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通讯枢纽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作为初始接报点；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执行应急管理部下达的客户沟通指令；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发送状态通告。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技术处置组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一线处置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执行故障诊断、服务重启、日志分析等操作；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实施应急管理部批准的恢复方案。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研发支撑组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二线专家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</w:t>
            </w:r>
            <w:bookmarkStart w:id="10" w:name="_GoBack"/>
            <w:bookmarkEnd w:id="10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工程师</w:t>
            </w:r>
          </w:p>
        </w:tc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远程提供深度技术分析；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提供代码级修复建议或补丁。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质量评估组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独立观察员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不参与处置，仅观察记录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记录时间线与关键动作；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对照SLA和制度评估流程符合性。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知识管理组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知识采集员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全程非侵入式记录处置步骤与决策点；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用于演练后知识结构化。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客户模拟组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甲方接口人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(同事扮演)</w:t>
            </w:r>
          </w:p>
        </w:tc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模拟甲方，接收通知、询问进展、确认结果。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7967"/>
      <w:r>
        <w:rPr>
          <w:rFonts w:hint="default"/>
          <w:lang w:val="en-US" w:eastAsia="zh-CN"/>
        </w:rPr>
        <w:t>演练场景与流程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3622"/>
      <w:r>
        <w:rPr>
          <w:rFonts w:hint="default"/>
          <w:lang w:val="en-US" w:eastAsia="zh-CN"/>
        </w:rPr>
        <w:t>模拟故障场景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故障现象：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14:00:00，监控告警：“翔云系统财务核算模块服务状态异常（HTTP 503）”。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14:00:30，监控告警：“翔云-SAP财务凭证同步接口连续失败率 &gt; 90%”。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业务影响：模拟导致甲方核心财务业务完全中断，符合P1级事件定义。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注入方式：在测试环境预设服务终止与错误配置。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5484"/>
      <w:r>
        <w:rPr>
          <w:rFonts w:hint="default"/>
          <w:lang w:val="en-US" w:eastAsia="zh-CN"/>
        </w:rPr>
        <w:t>演练阶段流程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阶段一：监测、上报与应急管理部成立 (目标: ≤ 15分钟)</w:t>
      </w:r>
    </w:p>
    <w:tbl>
      <w:tblPr>
        <w:tblStyle w:val="TableNormal"/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4540"/>
        <w:gridCol w:w="1346"/>
        <w:gridCol w:w="1502"/>
      </w:tblGrid>
      <w:tr>
        <w:tblPrEx>
          <w:tblW w:w="852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关键动作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负责角色/团队</w:t>
            </w:r>
          </w:p>
        </w:tc>
        <w:tc>
          <w:tcPr>
            <w:tcW w:w="15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制度依据/产出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14:00-14:02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监控告警，服务台专员发现并初步确认。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《制度》7.1 监测与预警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14:02-14:05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服务台专员立即电话上报运维项目经理。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《制度》7.2 事件上报与确认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14:05-14:08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运维项目经理初步评估为P1，立即上报数智运营部经理，建议成立应急管理部。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《制度》7.2 定级与启动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14:08-14:10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数智运营部经理宣布：“启动P1级应急响应，立即成立应急管理部。我任指挥长，运维项目经理任副指挥长，请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、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即刻到会议室集合。”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数智运营部经理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《制度》5. 组织与职责 - 应急管理部成立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14:10-14:15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服务台专员根据应急管理部指令，向客户模拟组发送第一条正式事件通告。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服务通报组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《制度》7.3 沟通通报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阶段二：应急管理部指挥下的处置与恢复 (目标:≤ 2小时)</w:t>
      </w:r>
    </w:p>
    <w:tbl>
      <w:tblPr>
        <w:tblStyle w:val="TableNormal"/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4359"/>
        <w:gridCol w:w="1624"/>
        <w:gridCol w:w="1405"/>
      </w:tblGrid>
      <w:tr>
        <w:tblPrEx>
          <w:tblW w:w="852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2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3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关键动作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负责角色/团队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制度依据/产出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14:15-16:00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应急管理部在指挥中心统筹指挥：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指令技术处置组进行诊断与尝试恢复。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协调研发支撑组进行深度分析。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决策采用分节点恢复与配置修正方案。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指令服务通报组定期发送进展。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《制度》7.3 协同联动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16:00-16:15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技术处置组向应急管理部报告恢复完成。应急管理部评估后，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指挥长宣布应急响应终止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《制度》7.4 响应终止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阶段三：响应终止与初步复盘</w:t>
      </w:r>
    </w:p>
    <w:tbl>
      <w:tblPr>
        <w:tblStyle w:val="TableNormal"/>
        <w:tblW w:w="8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3830"/>
        <w:gridCol w:w="2134"/>
        <w:gridCol w:w="1420"/>
      </w:tblGrid>
      <w:tr>
        <w:tblPrEx>
          <w:tblW w:w="850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2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8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关键动作</w:t>
            </w:r>
          </w:p>
        </w:tc>
        <w:tc>
          <w:tcPr>
            <w:tcW w:w="21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负责角色/团队</w:t>
            </w:r>
          </w:p>
        </w:tc>
        <w:tc>
          <w:tcPr>
            <w:tcW w:w="142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制度依据/产出</w:t>
            </w:r>
          </w:p>
        </w:tc>
      </w:tr>
      <w:tr>
        <w:tblPrEx>
          <w:tblW w:w="850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16:15-16:20</w:t>
            </w:r>
          </w:p>
        </w:tc>
        <w:tc>
          <w:tcPr>
            <w:tcW w:w="38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服务台专员发送最终恢复通知。</w:t>
            </w:r>
          </w:p>
        </w:tc>
        <w:tc>
          <w:tcPr>
            <w:tcW w:w="21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服务通报组</w:t>
            </w:r>
          </w:p>
        </w:tc>
        <w:tc>
          <w:tcPr>
            <w:tcW w:w="142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《制度》7.4</w:t>
            </w:r>
          </w:p>
        </w:tc>
      </w:tr>
      <w:tr>
        <w:tblPrEx>
          <w:tblW w:w="850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4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16:20-16:45</w:t>
            </w:r>
          </w:p>
        </w:tc>
        <w:tc>
          <w:tcPr>
            <w:tcW w:w="38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由应急管理部成员组织，所有参演人员进行即时复盘。</w:t>
            </w:r>
          </w:p>
        </w:tc>
        <w:tc>
          <w:tcPr>
            <w:tcW w:w="21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应急管理部（质量）、全体人员</w:t>
            </w:r>
          </w:p>
        </w:tc>
        <w:tc>
          <w:tcPr>
            <w:tcW w:w="142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《制度》8.1 事件复盘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4" w:name="_Toc8215"/>
      <w:r>
        <w:rPr>
          <w:rFonts w:hint="default"/>
          <w:lang w:val="en-US" w:eastAsia="zh-CN"/>
        </w:rPr>
        <w:t>评估、产出与准备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965"/>
      <w:r>
        <w:rPr>
          <w:rFonts w:hint="default"/>
          <w:lang w:val="en-US" w:eastAsia="zh-CN"/>
        </w:rPr>
        <w:t>成功标准</w:t>
      </w:r>
      <w:bookmarkEnd w:id="15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架构合规： 应急管理部在规定时间内成立并有效运作。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时效达标： 满足P1级SLA时限要求。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流程符合： 各环节符合《运维应急管理制度》流程。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协同有效： 在应急管理部统一指挥下，各团队协同顺畅。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6122"/>
      <w:r>
        <w:rPr>
          <w:rFonts w:hint="default"/>
          <w:lang w:val="en-US" w:eastAsia="zh-CN"/>
        </w:rPr>
        <w:t>核心交付物</w:t>
      </w:r>
      <w:bookmarkEnd w:id="16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《应急演练过程记录表》 (质量评估组)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《应急演练报告》 (由应急管理部指导，运维项目经理牵头编制)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《应急演练改进报告》 (由质量管理部牵头，基于复盘结果制定)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新的知识库条目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15829"/>
      <w:r>
        <w:rPr>
          <w:rFonts w:hint="default"/>
          <w:lang w:val="en-US" w:eastAsia="zh-CN"/>
        </w:rPr>
        <w:t>演练准备与安全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963"/>
      <w:r>
        <w:rPr>
          <w:rFonts w:hint="default"/>
          <w:lang w:val="en-US" w:eastAsia="zh-CN"/>
        </w:rPr>
        <w:t>前期准备 (演练前3个工作日完成)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测试环境就绪，故障注入脚本经过验证。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所有参演人员收到本预案并完成自学。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通讯录（含模拟甲方联系方式）已下发。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通告邮件/消息模板已准备。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观察评估表已分发给质量评估组。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53"/>
      <w:r>
        <w:rPr>
          <w:rFonts w:hint="default"/>
          <w:lang w:val="en-US" w:eastAsia="zh-CN"/>
        </w:rPr>
        <w:t>安全保障</w:t>
      </w:r>
      <w:bookmarkEnd w:id="19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环境隔离：确保演练仅在指定测试环境进行，有明确的网络与权限隔离措施。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操作审计：所有在测试环境的技术操作均需记录，严禁未经授权的操作。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熔断机制：若演练中出现意外，对真实系统造成风险或演练严重失控，领导小组组长有权立即中止演练。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保密要求：演练细节、特别是模拟的“系统漏洞”或“配置错误”，仅限于参演人员知悉，不得外泄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3A282B"/>
    <w:multiLevelType w:val="singleLevel"/>
    <w:tmpl w:val="A83A282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1753B2A"/>
    <w:multiLevelType w:val="singleLevel"/>
    <w:tmpl w:val="01753B2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A44D8AF"/>
    <w:multiLevelType w:val="singleLevel"/>
    <w:tmpl w:val="4A44D8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1B2AD6C"/>
    <w:multiLevelType w:val="singleLevel"/>
    <w:tmpl w:val="61B2AD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987</Words>
  <Characters>1111</Characters>
  <Application>Microsoft Office Word</Application>
  <DocSecurity>0</DocSecurity>
  <Lines>0</Lines>
  <Paragraphs>0</Paragraphs>
  <ScaleCrop>false</ScaleCrop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2026-02-01T21:15:21Z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