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71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5970"/>
      <w:r>
        <w:rPr>
          <w:rFonts w:hint="eastAsia"/>
          <w:lang w:val="en-US" w:eastAsia="zh-CN"/>
        </w:rPr>
        <w:t>翔云系统运维服务项目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6649"/>
      <w:r>
        <w:rPr>
          <w:rFonts w:hint="eastAsia"/>
          <w:lang w:val="en-US" w:eastAsia="zh-CN"/>
        </w:rPr>
        <w:t>应急演练计划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3" w:name="_GoBack"/>
          <w:bookmarkEnd w:id="3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_Toc25970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应急演练计划</w:t>
          </w:r>
          <w:r>
            <w:tab/>
          </w:r>
          <w:r>
            <w:fldChar w:fldCharType="begin"/>
          </w:r>
          <w:r>
            <w:instrText xml:space="preserve"> PAGEREF _Toc6649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计划目的</w:t>
          </w:r>
          <w:r>
            <w:tab/>
          </w:r>
          <w:r>
            <w:fldChar w:fldCharType="begin"/>
          </w:r>
          <w:r>
            <w:instrText xml:space="preserve"> PAGEREF _Toc20078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引用文件</w:t>
          </w:r>
          <w:r>
            <w:tab/>
          </w:r>
          <w:r>
            <w:fldChar w:fldCharType="begin"/>
          </w:r>
          <w:r>
            <w:instrText xml:space="preserve"> PAGEREF _Toc30422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应急管理目标与原则</w:t>
          </w:r>
          <w:r>
            <w:tab/>
          </w:r>
          <w:r>
            <w:fldChar w:fldCharType="begin"/>
          </w:r>
          <w:r>
            <w:instrText xml:space="preserve"> PAGEREF _Toc6686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管理目标</w:t>
          </w:r>
          <w:r>
            <w:tab/>
          </w:r>
          <w:r>
            <w:fldChar w:fldCharType="begin"/>
          </w:r>
          <w:r>
            <w:instrText xml:space="preserve"> PAGEREF _Toc22943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核心原则</w:t>
          </w:r>
          <w:r>
            <w:tab/>
          </w:r>
          <w:r>
            <w:fldChar w:fldCharType="begin"/>
          </w:r>
          <w:r>
            <w:instrText xml:space="preserve"> PAGEREF _Toc13826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组织架构与职责</w:t>
          </w:r>
          <w:r>
            <w:tab/>
          </w:r>
          <w:r>
            <w:fldChar w:fldCharType="begin"/>
          </w:r>
          <w:r>
            <w:instrText xml:space="preserve"> PAGEREF _Toc19288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常备应急团队</w:t>
          </w:r>
          <w:r>
            <w:tab/>
          </w:r>
          <w:r>
            <w:fldChar w:fldCharType="begin"/>
          </w:r>
          <w:r>
            <w:instrText xml:space="preserve"> PAGEREF _Toc23107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临时指挥机构：应急管理部</w:t>
          </w:r>
          <w:r>
            <w:tab/>
          </w:r>
          <w:r>
            <w:fldChar w:fldCharType="begin"/>
          </w:r>
          <w:r>
            <w:instrText xml:space="preserve"> PAGEREF _Toc5482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应急准备活动</w:t>
          </w:r>
          <w:r>
            <w:tab/>
          </w:r>
          <w:r>
            <w:fldChar w:fldCharType="begin"/>
          </w:r>
          <w:r>
            <w:instrText xml:space="preserve"> PAGEREF _Toc28207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风险评估与业务影响分析</w:t>
          </w:r>
          <w:r>
            <w:tab/>
          </w:r>
          <w:r>
            <w:fldChar w:fldCharType="begin"/>
          </w:r>
          <w:r>
            <w:instrText xml:space="preserve"> PAGEREF _Toc16230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应急预案体系管理</w:t>
          </w:r>
          <w:r>
            <w:tab/>
          </w:r>
          <w:r>
            <w:fldChar w:fldCharType="begin"/>
          </w:r>
          <w:r>
            <w:instrText xml:space="preserve"> PAGEREF _Toc2718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应急演练规划</w:t>
          </w:r>
          <w:r>
            <w:tab/>
          </w:r>
          <w:r>
            <w:fldChar w:fldCharType="begin"/>
          </w:r>
          <w:r>
            <w:instrText xml:space="preserve"> PAGEREF _Toc14346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资源保障</w:t>
          </w:r>
          <w:r>
            <w:tab/>
          </w:r>
          <w:r>
            <w:fldChar w:fldCharType="begin"/>
          </w:r>
          <w:r>
            <w:instrText xml:space="preserve"> PAGEREF _Toc24445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应急响应流程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事后恢复与持续改进</w:t>
          </w:r>
          <w:r>
            <w:tab/>
          </w:r>
          <w:r>
            <w:fldChar w:fldCharType="begin"/>
          </w:r>
          <w:r>
            <w:instrText xml:space="preserve"> PAGEREF _Toc3710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培训与沟通</w:t>
          </w:r>
          <w:r>
            <w:tab/>
          </w:r>
          <w:r>
            <w:fldChar w:fldCharType="begin"/>
          </w:r>
          <w:r>
            <w:instrText xml:space="preserve"> PAGEREF _Toc31776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计划评审与更新</w:t>
          </w:r>
          <w:r>
            <w:tab/>
          </w:r>
          <w:r>
            <w:fldChar w:fldCharType="begin"/>
          </w:r>
          <w:r>
            <w:instrText xml:space="preserve"> PAGEREF _Toc27741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2050"/>
      <w:r>
        <w:rPr>
          <w:rFonts w:hint="default"/>
          <w:lang w:val="en-US" w:eastAsia="zh-CN"/>
        </w:rPr>
        <w:t>引言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0078"/>
      <w:r>
        <w:rPr>
          <w:rFonts w:hint="default"/>
          <w:lang w:val="en-US" w:eastAsia="zh-CN"/>
        </w:rPr>
        <w:t>计划目的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应对“翔云系统运维及知识管理体系建设项目”服务过程中可能发生的各类突发事件，保障甲方（委托方）业务连续性，并确保乙方（江西通信产业服务有限公司）的服务交付符合合同约定的服务级别协议（SLA），依据《运维应急管理制度》、项目合同及相关法规标准，特制定本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本计划旨在建立一套预防、准备、响应、恢复和持续改进的闭环管理体系，确保应急工作有序、高效、可度量。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2374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合同期内，为保障“翔云系统”稳定运行所涉及的所有应急管理活动，包括但不限于：应急预案管理、团队建设、资源保障、演练安排、事件响应及事后改进。覆盖部门包括数智运营部、研究总院、质量管理部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30422"/>
      <w:r>
        <w:rPr>
          <w:rFonts w:hint="default"/>
          <w:lang w:val="en-US" w:eastAsia="zh-CN"/>
        </w:rPr>
        <w:t>引用文件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《翔云系统运维及知识管理体系建设项目合同》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《运维应急管理制度》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《人员岗位说明书》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《信息安全技术 网络安全事件应急演练指南》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《翔云系统常见问题处理运维专用》知识库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6686"/>
      <w:r>
        <w:rPr>
          <w:rFonts w:hint="default"/>
          <w:lang w:val="en-US" w:eastAsia="zh-CN"/>
        </w:rPr>
        <w:t>应急管理目标与原则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2943"/>
      <w:r>
        <w:rPr>
          <w:rFonts w:hint="default"/>
          <w:lang w:val="en-US" w:eastAsia="zh-CN"/>
        </w:rPr>
        <w:t>管理目标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业务连续性目标：确保翔云系统核心业务功能（财务、供应链、项目模块）在发生重大故障（P1/P2级）时，恢复时间满足合同SLA要求。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响应能力目标：建立一支职责清晰、训练有素、协同高效的应急团队，确保任何时间均能快速启动应急响应。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过程合规目标：所有应急活动严格遵循公司《运维应急管理制度》及本计划，流程可审计、动作可追溯。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知识赋能目标：将每次应急事件（包括演练）的处置经验，转化为结构化知识资产，持续丰富项目知识库，降低同类事件发生率和处置时长。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3826"/>
      <w:r>
        <w:rPr>
          <w:rFonts w:hint="default"/>
          <w:lang w:val="en-US" w:eastAsia="zh-CN"/>
        </w:rPr>
        <w:t>核心原则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预防为主，平战结合： 加强日常监控、健壮性设计和风险评估，将应急准备融入日常运维。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 突发事件发生时，立即按制度成立“应急管理部”，实行统一指挥，各团队按预案分级响应。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快速联动，协同处置： 以数智运营部为核心，无缝联动研究总院、质量管理部，确保技术、沟通、质量保障协同并进。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持续改进，闭环管理：建立“事件/演练→复盘→改进→更新预案/知识→再演练”的持续改进循环。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9288"/>
      <w:r>
        <w:rPr>
          <w:rFonts w:hint="default"/>
          <w:lang w:val="en-US" w:eastAsia="zh-CN"/>
        </w:rPr>
        <w:t>组织架构与职责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本计划遵循《运维应急管理制度》，“常备团队+临时指挥机构” 的模式。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3107"/>
      <w:r>
        <w:rPr>
          <w:rFonts w:hint="default"/>
          <w:lang w:val="en-US" w:eastAsia="zh-CN"/>
        </w:rPr>
        <w:t>常备应急团队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指日常即已明确的、在应急响应中承担关键职责的角色。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4512"/>
        <w:gridCol w:w="28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45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常备职责(应急相关)</w:t>
            </w:r>
          </w:p>
        </w:tc>
        <w:tc>
          <w:tcPr>
            <w:tcW w:w="2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依据文件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7x24小时事件监测与接报；初步定级与上报；应急信息枢纽。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合同第2.2条；岗位说明书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日常系统加固；事件发生时进行一线诊断、故障隔离与系统恢复操作。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合同第2.3条；岗位说明书（运维工程师）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为复杂技术问题提供代码级分析、紧急补丁或解决方案。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合同第2.3条；岗位说明书（开发工程师等）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监督应急流程符合性；参与事件复盘；推动质量改进措施。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《运维应急管理制度》5.3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负责应急知识的收集、结构化整理与入库。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岗位说明书（服务知识专员）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5482"/>
      <w:r>
        <w:rPr>
          <w:rFonts w:hint="default"/>
          <w:lang w:val="en-US" w:eastAsia="zh-CN"/>
        </w:rPr>
        <w:t>临时指挥机构：应急管理部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成立条件：确认为P1级（系统瘫痪）或P2级（核心功能失效）事件，或经数智运营部经理判断有必要时。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核心构成：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指挥长：数智运营部经理（担任应急管理部负责人）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副指挥长/技术指挥： 运维项目经理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核心成员：质量管理部代表、服务台主管、研发支撑组负责人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主要权责：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下达应急启动与终止指令。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负责重大决策、资源调配的最终审批。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批准对外（甲方）的关键沟通口径与正式报告。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指挥并协调各常备团队开展应急处置工作。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8207"/>
      <w:r>
        <w:rPr>
          <w:rFonts w:hint="default"/>
          <w:lang w:val="en-US" w:eastAsia="zh-CN"/>
        </w:rPr>
        <w:t>应急准备活动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6230"/>
      <w:r>
        <w:rPr>
          <w:rFonts w:hint="default"/>
          <w:lang w:val="en-US" w:eastAsia="zh-CN"/>
        </w:rPr>
        <w:t>风险评估与业务影响分析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频率：每半年一次，或在系统重大变更后。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牵头：数智运营部经理。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输出：《翔云系统业务影响分析报告》，明确核心业务功能、最大可容忍中断时间、关键依赖资源，并据此确定应急预案的优先级。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718"/>
      <w:r>
        <w:rPr>
          <w:rFonts w:hint="default"/>
          <w:lang w:val="en-US" w:eastAsia="zh-CN"/>
        </w:rPr>
        <w:t>应急预案体系管理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预案制定：基于业务影响分析，针对高风险场景制定专项《应急预案》。本年度至少完成覆盖合同P1级场景的2份核心预案。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预案维护：每年至少评审一次所有预案。当系统架构、关键人员或合同SLA变更时，必须触发即时评审与更新。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预案知晓度：所有相关团队成员必须熟悉与其职责相关的预案内容，并通过培训或考试验证。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4346"/>
      <w:r>
        <w:rPr>
          <w:rFonts w:hint="default"/>
          <w:lang w:val="en-US" w:eastAsia="zh-CN"/>
        </w:rPr>
        <w:t>应急演练规划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总体要求：严格按照《应急演练大纲》执行。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年度演练计划：</w:t>
      </w:r>
    </w:p>
    <w:tbl>
      <w:tblPr>
        <w:tblStyle w:val="TableNormal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183"/>
        <w:gridCol w:w="2506"/>
        <w:gridCol w:w="3173"/>
      </w:tblGrid>
      <w:tr>
        <w:tblPrEx>
          <w:tblW w:w="850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核心场景方向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Q2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新员工入职或流程变更后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熟悉角色与流程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模拟演练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核心应用模块故障 (P1级)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检验技术恢复与内部协同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2025年10月15日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模拟/实战演练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核心财务模块与SAP接口复合故障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验证应急管理部成立与指挥机制；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检验团队对P1级事件的协同处置能力；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确保响应与恢复时效满足合同SLA。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24445"/>
      <w:r>
        <w:rPr>
          <w:rFonts w:hint="default"/>
          <w:lang w:val="en-US" w:eastAsia="zh-CN"/>
        </w:rPr>
        <w:t>资源保障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人员保障：建立并维护“应急响应人员联络清单”，明确各角色A/B角，确保7x24小时可联络。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工具保障：确保监控平台、远程协作工具、知识库在应急期间绝对可用。定期检查备用通讯手段。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知识保障：在知识库中设立“应急专区”，存放所有预案、演练报告、历史事件案例，并确保权限合理、检索便捷。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811"/>
      <w:r>
        <w:rPr>
          <w:rFonts w:hint="default"/>
          <w:lang w:val="en-US" w:eastAsia="zh-CN"/>
        </w:rPr>
        <w:t>应急响应流程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本流程是《运维应急管理制度》第7章在本项目中的具体化。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监测与预警：服务台通过监控工具7x24小时监测，达到预警阈值即按预案通报。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事件上报与定级：服务台接报或发现事件，在15分钟内完成初步判断并上报运维项目经理。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项目经理在30分钟内完成初步定级（P1-P4）。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启动响应与成立应急管理部：对于P1/P2级事件，数智运营部经理应决定是否成立应急管理部。若成立，则立即召集成员，行使指挥权。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应急处置与恢复：在应急管理部指挥下，技术团队按预案处置，服务台按计划通报，质量团队独立观察记录。所有行动以满足合同SLA时限为首要目标。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响应终止：事件得到控制，业务恢复，经应急管理部评估后，由指挥长宣布响应终止，并通知甲方。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事后报告：响应终止后24小时内，提交《应急事件初步报告》。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3710"/>
      <w:r>
        <w:rPr>
          <w:rFonts w:hint="default"/>
          <w:lang w:val="en-US" w:eastAsia="zh-CN"/>
        </w:rPr>
        <w:t>事后恢复与持续改进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事件复盘：响应终止后5个工作日内，由质量管理部牵头组织复盘会议，应急管理部成员及相关处置人员必须参加。采用根本原因分析法。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报告编制：复盘后3个工作日内，形成《应急响应总结报告》，报公司管理层并归档。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改进跟踪：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报告中的改进措施录入公司《服务改进措施表》。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明确责任人与完成时限，由质量管理部跟踪闭环。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涉及预案、流程、文档的修改，须在措施关闭前完成。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知识沉淀：服务知识专员在事件关闭后5个工作日内，完成相关知识的提炼与结构化，经审核后发布至知识库“应急专区”。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31776"/>
      <w:r>
        <w:rPr>
          <w:rFonts w:hint="default"/>
          <w:lang w:val="en-US" w:eastAsia="zh-CN"/>
        </w:rPr>
        <w:t>培训与沟通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培训计划：</w:t>
      </w:r>
      <w:r>
        <w:rPr>
          <w:rFonts w:hint="eastAsia"/>
          <w:lang w:val="en-US" w:eastAsia="zh-CN"/>
        </w:rPr>
        <w:t>每年至少进行一次应急培训</w:t>
      </w:r>
      <w:r>
        <w:rPr>
          <w:rFonts w:hint="default"/>
          <w:lang w:val="en-US" w:eastAsia="zh-CN"/>
        </w:rPr>
        <w:t>，内容涵盖制度宣贯、预案讲解、工具使用或案例学习。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沟通机制：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对内：建立应急响应专用通讯群，确保信息即时同步。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对外（甲方）：严格按照合同及预案中约定的沟通渠道、频率和模板进行通报，由服务台统一执行，应急管理部审核关键信息。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7741"/>
      <w:r>
        <w:rPr>
          <w:rFonts w:hint="default"/>
          <w:lang w:val="en-US" w:eastAsia="zh-CN"/>
        </w:rPr>
        <w:t>计划评审与更新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本计划每年至少进行一次全面评审，由数智运营部经理组织。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当出现以下情况时，必须启动临时评审与更新：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项目合同SLA发生重大变更。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翔云系统架构或核心业务逻辑重大调整。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公司《运维应急管理制度》修订。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年度应急演练或实际响应中暴露出本计划存在重大缺陷。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4A7C918"/>
    <w:multiLevelType w:val="singleLevel"/>
    <w:tmpl w:val="E4A7C9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E914DA8"/>
    <w:multiLevelType w:val="singleLevel"/>
    <w:tmpl w:val="7E914D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2966</Words>
  <Characters>3132</Characters>
  <Application>Microsoft Office Word</Application>
  <DocSecurity>0</DocSecurity>
  <Lines>0</Lines>
  <Paragraphs>0</Paragraphs>
  <ScaleCrop>false</ScaleCrop>
  <Company/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