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6955"/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4284"/>
      <w:r>
        <w:rPr>
          <w:rFonts w:hint="eastAsia"/>
          <w:lang w:val="en-US" w:eastAsia="zh-CN"/>
        </w:rPr>
        <w:t>翔云系统运维服务项目</w:t>
      </w:r>
      <w:bookmarkEnd w:id="1"/>
    </w:p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2" w:name="_Toc3458"/>
      <w:r>
        <w:rPr>
          <w:rFonts w:hint="eastAsia"/>
          <w:lang w:val="en-US" w:eastAsia="zh-CN"/>
        </w:rPr>
        <w:t>应急演练记录</w:t>
      </w:r>
      <w:bookmarkEnd w:id="2"/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right="0" w:firstLine="0" w:leftChars="0" w:rightChars="0" w:firstLineChars="0"/>
        <w:jc w:val="center"/>
        <w:textAlignment w:val="baseline"/>
        <w:rPr>
          <w:rFonts w:ascii="宋体" w:eastAsia="宋体" w:hAnsi="宋体" w:cs="宋体" w:hint="eastAsia"/>
          <w:sz w:val="24"/>
          <w:szCs w:val="24"/>
          <w:lang w:val="en-US" w:eastAsia="zh-CN"/>
        </w:rPr>
      </w:pP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文件编号：</w:t>
      </w:r>
      <w:r>
        <w:rPr>
          <w:rFonts w:ascii="宋体" w:eastAsia="宋体" w:hAnsi="宋体" w:cs="宋体" w:hint="eastAsia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10</w:t>
      </w:r>
      <w:r>
        <w:rPr>
          <w:rFonts w:ascii="宋体" w:eastAsia="宋体" w:hAnsi="宋体" w:cs="宋体"/>
          <w:b/>
          <w:bCs/>
          <w:spacing w:val="-3"/>
          <w:sz w:val="24"/>
          <w:szCs w:val="24"/>
        </w:rPr>
        <w:t>-0</w:t>
      </w:r>
      <w:r>
        <w:rPr>
          <w:rFonts w:ascii="宋体" w:hAnsi="宋体" w:cs="宋体" w:hint="eastAsia"/>
          <w:b/>
          <w:bCs/>
          <w:spacing w:val="-3"/>
          <w:sz w:val="24"/>
          <w:szCs w:val="24"/>
          <w:lang w:val="en-US" w:eastAsia="zh-CN"/>
        </w:rPr>
        <w:t>5</w:t>
      </w:r>
    </w:p>
    <w:tbl>
      <w:tblPr>
        <w:tblStyle w:val="TableGrid"/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>
        <w:tblPrEx>
          <w:tblW w:w="0" w:type="auto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/>
          <w:jc w:val="center"/>
        </w:trPr>
        <w:tc>
          <w:tcPr>
            <w:tcW w:w="2432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asciiTheme="minorAscii" w:eastAsiaTheme="minorEastAsia" w:hAnsiTheme="minorAscii" w:hint="default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 w:eastAsia="Arial" w:hAnsi="Arial" w:cs="Arial" w:hint="default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  <w:tr>
        <w:tblPrEx>
          <w:tblW w:w="0" w:type="auto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/>
          <w:jc w:val="center"/>
        </w:trPr>
        <w:tc>
          <w:tcPr>
            <w:tcW w:w="243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asciiTheme="minorAscii" w:eastAsiaTheme="minorEastAsia" w:hAnsiTheme="minorAscii" w:hint="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2025.11.10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eastAsia="宋体" w:hAnsi="宋体" w:cs="宋体"/>
          <w:sz w:val="31"/>
          <w:szCs w:val="31"/>
        </w:rPr>
      </w:pPr>
      <w:r>
        <w:rPr>
          <w:rFonts w:ascii="宋体" w:eastAsia="宋体" w:hAnsi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TableNormal0"/>
        <w:tblW w:w="8214" w:type="dxa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>
        <w:tblPrEx>
          <w:tblW w:w="8214" w:type="dxa"/>
          <w:jc w:val="center"/>
          <w:tbl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  <w:insideH w:val="single" w:sz="2" w:space="0" w:color="000000"/>
            <w:insideV w:val="single" w:sz="2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hAnsi="宋体" w:cs="宋体" w:hint="eastAsia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eastAsia="宋体" w:hAnsi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eastAsia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hAnsi="宋体" w:cs="宋体" w:hint="default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cs="宋体" w:hint="eastAsia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7"/>
                <w:sz w:val="20"/>
                <w:szCs w:val="20"/>
              </w:rPr>
              <w:t>批准人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/>
          <w:jc w:val="center"/>
        </w:trPr>
        <w:tc>
          <w:tcPr>
            <w:tcW w:w="1317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 w:hint="default"/>
                <w:sz w:val="20"/>
                <w:szCs w:val="20"/>
                <w:lang w:val="en-US"/>
              </w:rPr>
            </w:pP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eastAsia="宋体" w:hAnsi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ascii="宋体" w:hAnsi="宋体" w:cs="宋体" w:hint="eastAsia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eastAsia="宋体" w:hAnsi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right="0" w:firstLine="0" w:leftChars="0" w:rightChars="0" w:firstLineChars="0"/>
              <w:jc w:val="center"/>
              <w:textAlignment w:val="baseline"/>
              <w:rPr>
                <w:rFonts w:ascii="宋体" w:eastAsia="宋体" w:hAnsi="宋体" w:cs="宋体"/>
                <w:sz w:val="20"/>
                <w:szCs w:val="20"/>
              </w:rPr>
            </w:pPr>
            <w:r>
              <w:rPr>
                <w:rFonts w:asciiTheme="minorAscii" w:eastAsiaTheme="minorEastAsia" w:hAnsiTheme="minorAscii" w:hint="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  <w:tr>
        <w:tblPrEx>
          <w:tblW w:w="8214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/>
          <w:jc w:val="center"/>
        </w:trPr>
        <w:tc>
          <w:tcPr>
            <w:tcW w:w="1317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>
            <w:pPr>
              <w:pStyle w:val="TableText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right="0" w:firstLine="0" w:leftChars="0" w:rightChars="0" w:firstLineChars="0"/>
              <w:jc w:val="center"/>
              <w:textAlignment w:val="baseline"/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ascii="宋体" w:eastAsia="宋体" w:hAnsi="宋体" w:cs="宋体" w:hint="eastAsia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  <w:rPr>
              <w:rFonts w:ascii="宋体" w:eastAsia="宋体" w:hAnsi="宋体" w:cs="宋体" w:hint="eastAsia"/>
              <w:sz w:val="24"/>
              <w:szCs w:val="24"/>
            </w:rPr>
          </w:pPr>
          <w:r>
            <w:rPr>
              <w:rFonts w:ascii="宋体" w:eastAsia="宋体" w:hAnsi="宋体" w:cs="宋体" w:hint="eastAsia"/>
              <w:sz w:val="24"/>
              <w:szCs w:val="24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 w:val="24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 w:val="24"/>
              <w:szCs w:val="24"/>
            </w:rPr>
            <w:instrText xml:space="preserve">TOC \o "1-3" \h \u </w:instrText>
          </w:r>
          <w:r>
            <w:rPr>
              <w:rFonts w:ascii="宋体" w:eastAsia="宋体" w:hAnsi="宋体" w:cs="宋体" w:hint="eastAsia"/>
              <w:sz w:val="24"/>
              <w:szCs w:val="24"/>
            </w:rPr>
            <w:fldChar w:fldCharType="separate"/>
          </w: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_Toc26955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_Toc26955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_Toc14284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</w:t>
          </w:r>
          <w:r>
            <w:tab/>
          </w:r>
          <w:r>
            <w:fldChar w:fldCharType="begin"/>
          </w:r>
          <w:r>
            <w:instrText xml:space="preserve"> PAGEREF _Toc14284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_Toc3458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应急演练记录</w:t>
          </w:r>
          <w:r>
            <w:tab/>
          </w:r>
          <w:r>
            <w:fldChar w:fldCharType="begin"/>
          </w:r>
          <w:r>
            <w:instrText xml:space="preserve"> PAGEREF _Toc3458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_Toc28514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1. 演练基本信息</w:t>
          </w:r>
          <w:r>
            <w:tab/>
          </w:r>
          <w:r>
            <w:fldChar w:fldCharType="begin"/>
          </w:r>
          <w:r>
            <w:instrText xml:space="preserve"> PAGEREF _Toc28514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_Toc27819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2. 演练过程关键时间线与评估</w:t>
          </w:r>
          <w:r>
            <w:tab/>
          </w:r>
          <w:r>
            <w:fldChar w:fldCharType="begin"/>
          </w:r>
          <w:r>
            <w:instrText xml:space="preserve"> PAGEREF _Toc27819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_Toc26693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3. 演练目标达成情况评估</w:t>
          </w:r>
          <w:r>
            <w:tab/>
          </w:r>
          <w:r>
            <w:fldChar w:fldCharType="begin"/>
          </w:r>
          <w:r>
            <w:instrText xml:space="preserve"> PAGEREF _Toc26693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rPr>
              <w:rFonts w:ascii="宋体" w:eastAsia="宋体" w:hAnsi="宋体" w:cs="宋体" w:hint="eastAsia"/>
              <w:szCs w:val="24"/>
            </w:rPr>
            <w:fldChar w:fldCharType="begin"/>
          </w:r>
          <w:r>
            <w:rPr>
              <w:rFonts w:ascii="宋体" w:eastAsia="宋体" w:hAnsi="宋体" w:cs="宋体" w:hint="eastAsia"/>
              <w:szCs w:val="24"/>
            </w:rPr>
            <w:instrText xml:space="preserve"> HYPERLINK \l _Toc18058 </w:instrText>
          </w:r>
          <w:r>
            <w:rPr>
              <w:rFonts w:ascii="宋体" w:eastAsia="宋体" w:hAnsi="宋体" w:cs="宋体" w:hint="eastAsia"/>
              <w:szCs w:val="24"/>
            </w:rPr>
            <w:fldChar w:fldCharType="separate"/>
          </w:r>
          <w:r>
            <w:rPr>
              <w:rFonts w:hint="default"/>
            </w:rPr>
            <w:t>4. 发现问题与待改进项</w:t>
          </w:r>
          <w:r>
            <w:tab/>
          </w:r>
          <w:r>
            <w:fldChar w:fldCharType="begin"/>
          </w:r>
          <w:r>
            <w:instrText xml:space="preserve"> PAGEREF _Toc18058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ascii="宋体" w:eastAsia="宋体" w:hAnsi="宋体" w:cs="宋体" w:hint="eastAsia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ascii="宋体" w:eastAsia="宋体" w:hAnsi="宋体" w:cs="宋体" w:hint="eastAsia"/>
              <w:szCs w:val="24"/>
            </w:rP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eastAsia="Arial" w:hAnsi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>
      <w:pPr>
        <w:pStyle w:val="1"/>
        <w:bidi w:val="0"/>
      </w:pPr>
      <w:bookmarkStart w:id="3" w:name="_GoBack"/>
      <w:bookmarkEnd w:id="3"/>
      <w:bookmarkStart w:id="4" w:name="_Toc28514"/>
      <w:r>
        <w:rPr>
          <w:rFonts w:hint="default"/>
        </w:rPr>
        <w:t>演练基本信息</w:t>
      </w:r>
      <w:bookmarkEnd w:id="4"/>
    </w:p>
    <w:tbl>
      <w:tblPr>
        <w:tblStyle w:val="TableNormal"/>
        <w:tblW w:w="851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20"/>
        <w:gridCol w:w="7790"/>
      </w:tblGrid>
      <w:tr>
        <w:tblPrEx>
          <w:tblW w:w="8510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779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内容</w:t>
            </w:r>
          </w:p>
        </w:tc>
      </w:tr>
      <w:tr>
        <w:tblPrEx>
          <w:tblW w:w="851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演练类型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☑ 模拟演练 (在独立测试环境进行)</w:t>
            </w:r>
          </w:p>
        </w:tc>
      </w:tr>
      <w:tr>
        <w:tblPrEx>
          <w:tblW w:w="851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演练地点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应急指挥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部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（</w:t>
            </w:r>
            <w:r>
              <w:rPr>
                <w:rFonts w:ascii="Segoe UI" w:eastAsia="Segoe UI" w:hAnsi="Segoe UI" w:cs="Segoe UI" w:hint="eastAsia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公司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会议室）、运维工位、远程支持端</w:t>
            </w:r>
          </w:p>
        </w:tc>
      </w:tr>
      <w:tr>
        <w:tblPrEx>
          <w:tblW w:w="851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场景编号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XY-SCENARIO-001 (核心财务模块与SAP接口复合故障)</w:t>
            </w:r>
          </w:p>
        </w:tc>
      </w:tr>
      <w:tr>
        <w:tblPrEx>
          <w:tblW w:w="851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场景简述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模拟翔云系统财务核算模块服务不可用，同时与SAP系统的财务凭证同步接口大面积失败，导致甲方核心财务业务中断，符合P1级事件定义。</w:t>
            </w:r>
          </w:p>
        </w:tc>
      </w:tr>
      <w:tr>
        <w:tblPrEx>
          <w:tblW w:w="8510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72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依据文件</w:t>
            </w:r>
          </w:p>
        </w:tc>
        <w:tc>
          <w:tcPr>
            <w:tcW w:w="779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《应急演练预案》(JXTX-10-03)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《应急演练大纲》(JXTX-10-02)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《项目合同》SLA条款</w:t>
            </w:r>
          </w:p>
        </w:tc>
      </w:tr>
    </w:tbl>
    <w:p>
      <w:pPr>
        <w:pStyle w:val="1"/>
        <w:bidi w:val="0"/>
      </w:pPr>
      <w:bookmarkStart w:id="5" w:name="_Toc27819"/>
      <w:r>
        <w:rPr>
          <w:rFonts w:hint="default"/>
        </w:rPr>
        <w:t>演练过程关键时间线与评估</w:t>
      </w:r>
      <w:bookmarkEnd w:id="5"/>
    </w:p>
    <w:tbl>
      <w:tblPr>
        <w:tblStyle w:val="TableNormal"/>
        <w:tblW w:w="85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0"/>
        <w:gridCol w:w="2637"/>
        <w:gridCol w:w="1350"/>
        <w:gridCol w:w="1806"/>
        <w:gridCol w:w="1530"/>
      </w:tblGrid>
      <w:tr>
        <w:tblPrEx>
          <w:tblW w:w="8523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时间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关键动作/事件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SLA/预案目标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实际结果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观察员评估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14:00:00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监控平台模拟告警触发。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告警准确发出。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场景注入成功。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14:02:15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服务台专员发现告警，初步确认。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发现事件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完成初步判断。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反应及时。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14:04:30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服务台专员电话上报运维项目经理。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内部上报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沟通渠道正确，信息传递完整。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符合上报流程。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14:07:00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运维项目经理评估为P1，建议启动应急响应并成立应急管理部。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初步定级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定级准确，建议合理。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决策流程清晰。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14:09:20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数智运营部经理宣布启动P1级应急响应，并指令成立应急管理部。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启动响应，成立机构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应急管理部依法成立。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核心机制验证成功。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14:12:00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应急管理部成员集结完毕，召开首次紧急会议。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-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集结迅速，会议高效。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指挥体系开始运作。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14:14:40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服务台发送事件通告邮件给模拟甲方。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≤15分钟响应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用时14分40秒。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SLA响应时效达标。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14:15-16:05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技术诊断、研发介入、决策恢复方案、执行恢复操作。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协同处置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技术排查逻辑清晰，跨团队协作顺畅。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在应急管理部指挥下，协同有效。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16:05-16:10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验证业务功能恢复，数据补发完成。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业务恢复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核心功能验证通过。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恢复验证步骤完整。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16:10:00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应急管理部评估后，指挥长宣布应急响应终止。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≤2小时恢复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从事件发生到响应终止总计2小时10分。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恢复时间略超目标，需分析。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16:12:00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服务台发送“应急响应终止及业务恢复确认”通知。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最终通告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通知及时发出。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沟通闭环完成。</w:t>
            </w:r>
          </w:p>
        </w:tc>
      </w:tr>
      <w:tr>
        <w:tblPrEx>
          <w:tblW w:w="8523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16:20-16:50</w:t>
            </w:r>
          </w:p>
        </w:tc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召开即时复盘会议。</w:t>
            </w:r>
          </w:p>
        </w:tc>
        <w:tc>
          <w:tcPr>
            <w:tcW w:w="13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24小时内复盘</w:t>
            </w:r>
          </w:p>
        </w:tc>
        <w:tc>
          <w:tcPr>
            <w:tcW w:w="1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会议按时召开，讨论热烈。</w:t>
            </w:r>
          </w:p>
        </w:tc>
        <w:tc>
          <w:tcPr>
            <w:tcW w:w="1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完成“热复盘”。</w:t>
            </w:r>
          </w:p>
        </w:tc>
      </w:tr>
    </w:tbl>
    <w:p>
      <w:pPr>
        <w:pStyle w:val="1"/>
        <w:bidi w:val="0"/>
      </w:pPr>
      <w:bookmarkStart w:id="6" w:name="_Toc26693"/>
      <w:r>
        <w:rPr>
          <w:rFonts w:hint="default"/>
        </w:rPr>
        <w:t>演练目标达成情况评估</w:t>
      </w:r>
      <w:bookmarkEnd w:id="6"/>
    </w:p>
    <w:tbl>
      <w:tblPr>
        <w:tblStyle w:val="TableNormal"/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67"/>
        <w:gridCol w:w="2360"/>
        <w:gridCol w:w="3243"/>
        <w:gridCol w:w="1752"/>
      </w:tblGrid>
      <w:tr>
        <w:tblPrEx>
          <w:tblW w:w="8522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116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评估维度</w:t>
            </w:r>
          </w:p>
        </w:tc>
        <w:tc>
          <w:tcPr>
            <w:tcW w:w="2360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预案目标</w:t>
            </w:r>
          </w:p>
        </w:tc>
        <w:tc>
          <w:tcPr>
            <w:tcW w:w="3243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实际表现</w:t>
            </w:r>
          </w:p>
        </w:tc>
        <w:tc>
          <w:tcPr>
            <w:tcW w:w="1752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评估结果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架构合规性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应急管理部按规定成立并运作。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在事件上报后9分20秒内成立并有效指挥。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✔ 完全达成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SLA时效性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P1级：15分钟响应，2小时内恢复。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14分40秒响应（达标），2小时10分恢复（略超）。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⚠ 部分达成 (恢复时效待改进)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流程符合性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符合《运维应急管理制度》及预案流程。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各环节执行与预案高度一致，无流程跳步。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✔ 完全达成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沟通有效性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对内上报准确，对外通报及时、专业。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内部上报路径清晰；对外发送4次通告，内容完整、准时。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✔ 完全达成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团队协同性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跨团队信息共享与行动协同顺畅。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在应急管理部调度下，团队间协作良好，无重大信息阻塞。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✔ 达成</w:t>
            </w:r>
          </w:p>
        </w:tc>
      </w:tr>
      <w:tr>
        <w:tblPrEx>
          <w:tblW w:w="8522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116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知识采集完整性</w:t>
            </w:r>
          </w:p>
        </w:tc>
        <w:tc>
          <w:tcPr>
            <w:tcW w:w="236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全程记录可转化为知识的操作与决策点。</w:t>
            </w:r>
          </w:p>
        </w:tc>
        <w:tc>
          <w:tcPr>
            <w:tcW w:w="32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知识专员采集了完整的技术步骤、沟通记录与决策日志。</w:t>
            </w:r>
          </w:p>
        </w:tc>
        <w:tc>
          <w:tcPr>
            <w:tcW w:w="17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✔ 达成</w:t>
            </w:r>
          </w:p>
        </w:tc>
      </w:tr>
    </w:tbl>
    <w:p>
      <w:pPr>
        <w:pStyle w:val="1"/>
        <w:bidi w:val="0"/>
      </w:pPr>
      <w:bookmarkStart w:id="7" w:name="_Toc18058"/>
      <w:r>
        <w:rPr>
          <w:rFonts w:hint="default"/>
        </w:rPr>
        <w:t>发现问题与待改进项</w:t>
      </w:r>
      <w:bookmarkEnd w:id="7"/>
    </w:p>
    <w:tbl>
      <w:tblPr>
        <w:tblStyle w:val="TableNormal"/>
        <w:tblW w:w="956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1"/>
        <w:gridCol w:w="2430"/>
        <w:gridCol w:w="2250"/>
        <w:gridCol w:w="2130"/>
        <w:gridCol w:w="2245"/>
      </w:tblGrid>
      <w:tr>
        <w:tblPrEx>
          <w:tblW w:w="9566" w:type="dxa"/>
          <w:jc w:val="center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tblHeader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序号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问题描述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原因初步分析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责任团队/角色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b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改进建议（初步）</w:t>
            </w:r>
          </w:p>
        </w:tc>
      </w:tr>
      <w:tr>
        <w:tblPrEx>
          <w:tblW w:w="956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业务恢复时间略超2小时目标。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恢复方案中的“分节点恢复”步骤，因其中一台测试服务器资源不足，导致单节点启动延迟约8分钟。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将演练/应急专用测试环境的资源健康度检查纳入前置准备清单。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优化恢复脚本，增加对资源状态的预检与容错。</w:t>
            </w:r>
          </w:p>
        </w:tc>
      </w:tr>
      <w:tr>
        <w:tblPrEx>
          <w:tblW w:w="956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应急管理部首次会议时，指挥中心共享屏幕切换不畅。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视频会议软件与投影仪兼容性问题，会前未进行联合调试。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数智运营部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制定《应急指挥中心设备检查清单》，并于演练/应急前强制完成检查。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准备关键信息的纸质备份。</w:t>
            </w:r>
          </w:p>
        </w:tc>
      </w:tr>
      <w:tr>
        <w:tblPrEx>
          <w:tblW w:w="9566" w:type="dxa"/>
          <w:jc w:val="center"/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/>
          <w:jc w:val="center"/>
        </w:trPr>
        <w:tc>
          <w:tcPr>
            <w:tcW w:w="511" w:type="dxa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Strong"/>
                <w:rFonts w:ascii="Segoe UI" w:eastAsia="Segoe UI" w:hAnsi="Segoe UI" w:cs="Segoe UI" w:hint="default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</w:t>
            </w:r>
          </w:p>
        </w:tc>
        <w:tc>
          <w:tcPr>
            <w:tcW w:w="24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服务台专员在发送首条通告后，未立即在内部群同步已发送的信息。</w:t>
            </w:r>
          </w:p>
        </w:tc>
        <w:tc>
          <w:tcPr>
            <w:tcW w:w="225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沟通脚本未明确要求此动作，专员专注于对外沟通。</w:t>
            </w:r>
          </w:p>
        </w:tc>
        <w:tc>
          <w:tcPr>
            <w:tcW w:w="2130" w:type="dxa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2245" w:type="dxa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Segoe UI" w:eastAsia="Segoe UI" w:hAnsi="Segoe UI" w:cs="Segoe UI" w:hint="default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更新通告模板和SOP，增加“对外发送后，立即在内部指挥群截图确认”的步骤。</w:t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/>
            </w:r>
            <w:r>
              <w:rPr>
                <w:rFonts w:ascii="Segoe UI" w:eastAsia="Segoe UI" w:hAnsi="Segoe UI" w:cs="Segoe UI" w:hint="default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加强相关情景培训。</w:t>
            </w:r>
          </w:p>
        </w:tc>
      </w:tr>
    </w:tbl>
    <w:p>
      <w:pPr>
        <w:pStyle w:val="a1"/>
        <w:bidi w:val="0"/>
        <w:ind w:left="0" w:firstLine="0" w:leftChars="0" w:firstLineChars="0"/>
        <w:rPr>
          <w:rFonts w:hint="default"/>
          <w:lang w:val="en-US" w:eastAsia="zh-CN"/>
        </w:rPr>
      </w:pPr>
    </w:p>
    <w:sectPr>
      <w:headerReference w:type="default" r:id="rId7"/>
      <w:pgSz w:w="11906" w:h="16838"/>
      <w:pgMar w:top="1417" w:right="1800" w:bottom="1440" w:left="1800" w:header="1140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bottom w:val="single" w:sz="4" w:space="1" w:color="auto"/>
      </w:pBdr>
      <w:tabs>
        <w:tab w:val="left" w:pos="335"/>
        <w:tab w:val="right" w:pos="8426"/>
      </w:tabs>
      <w:jc w:val="right"/>
      <w:rPr>
        <w:rFonts w:eastAsiaTheme="minorEastAsia" w:hint="eastAsia"/>
        <w:lang w:eastAsia="zh-CN"/>
      </w:rPr>
    </w:pP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ab/>
    </w:r>
    <w:r>
      <w:rPr>
        <w:rFonts w:eastAsiaTheme="minorEastAsia" w:hint="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table" w:customStyle="1" w:styleId="TableNormal1">
    <w:name w:val="Table Normal_1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header" Target="header1.xm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421</Words>
  <Characters>536</Characters>
  <Application>Microsoft Office Word</Application>
  <DocSecurity>0</DocSecurity>
  <Lines>0</Lines>
  <Paragraphs>0</Paragraphs>
  <ScaleCrop>false</ScaleCrop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郝宇</dc:creator>
  <cp:lastModifiedBy>郝宇</cp:lastModifiedBy>
  <cp:revision>1</cp:revision>
  <dcterms:created xsi:type="dcterms:W3CDTF">2025-09-03T14:43:00Z</dcterms:created>
  <dcterms:modified xsi:type="dcterms:W3CDTF">2026-02-01T21:16:36Z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