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4559"/>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1429"/>
      <w:r>
        <w:rPr>
          <w:rFonts w:hint="eastAsia"/>
          <w:lang w:val="en-US" w:eastAsia="zh-CN"/>
        </w:rPr>
        <w:t>翔云系统运维服务项目</w:t>
      </w:r>
      <w:bookmarkEnd w:id="1"/>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2" w:name="_Toc12913"/>
      <w:r>
        <w:rPr>
          <w:rFonts w:hint="eastAsia"/>
          <w:lang w:val="en-US" w:eastAsia="zh-CN"/>
        </w:rPr>
        <w:t>应急演练报告</w:t>
      </w:r>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JXTX</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10</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bookmarkStart w:id="3" w:name="_GoBack"/>
      <w:bookmarkEnd w:id="3"/>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数智运营部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涂志云</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rPr>
            </w:pPr>
            <w:r>
              <w:rPr>
                <w:rFonts w:ascii="宋体" w:eastAsia="宋体" w:hAnsi="宋体" w:cs="宋体"/>
                <w:spacing w:val="3"/>
                <w:position w:val="1"/>
                <w:sz w:val="20"/>
                <w:szCs w:val="20"/>
              </w:rPr>
              <w:t>2025.</w:t>
            </w:r>
            <w:r>
              <w:rPr>
                <w:rFonts w:ascii="宋体" w:hAnsi="宋体" w:cs="宋体" w:hint="eastAsia"/>
                <w:spacing w:val="3"/>
                <w:position w:val="1"/>
                <w:sz w:val="20"/>
                <w:szCs w:val="20"/>
                <w:lang w:val="en-US" w:eastAsia="zh-CN"/>
              </w:rPr>
              <w:t>11</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10</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徐超超</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宋体" w:eastAsia="宋体" w:hAnsi="宋体" w:cs="宋体" w:hint="eastAsia"/>
                <w:spacing w:val="200"/>
                <w:kern w:val="0"/>
                <w:sz w:val="20"/>
                <w:szCs w:val="20"/>
              </w:rPr>
              <w:t>何</w:t>
            </w:r>
            <w:r>
              <w:rPr>
                <w:rFonts w:asciiTheme="minorAscii" w:eastAsiaTheme="minorEastAsia" w:hAnsiTheme="minorAscii" w:hint="eastAsia"/>
                <w:spacing w:val="0"/>
                <w:kern w:val="0"/>
                <w:sz w:val="21"/>
                <w:vertAlign w:val="baseline"/>
                <w:lang w:val="en-US" w:eastAsia="zh-CN"/>
              </w:rPr>
              <w:t>峻</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asciiTheme="minorAscii" w:eastAsiaTheme="minorEastAsia" w:hAnsiTheme="minorAscii" w:hint="eastAsia"/>
                <w:spacing w:val="0"/>
                <w:kern w:val="0"/>
                <w:sz w:val="21"/>
                <w:vertAlign w:val="baseline"/>
                <w:lang w:val="en-US" w:eastAsia="zh-CN"/>
              </w:rPr>
              <w:t>涂志云</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_Toc14559 </w:instrText>
          </w:r>
          <w:r>
            <w:rPr>
              <w:rFonts w:ascii="宋体" w:eastAsia="宋体" w:hAnsi="宋体" w:cs="宋体" w:hint="eastAsia"/>
              <w:szCs w:val="24"/>
            </w:rPr>
            <w:fldChar w:fldCharType="separate"/>
          </w:r>
          <w:r>
            <w:rPr>
              <w:rFonts w:hint="eastAsia"/>
              <w:lang w:val="en-US" w:eastAsia="zh-CN"/>
            </w:rPr>
            <w:t>江西通信产业服务有限公司</w:t>
          </w:r>
          <w:r>
            <w:tab/>
          </w:r>
          <w:r>
            <w:fldChar w:fldCharType="begin"/>
          </w:r>
          <w:r>
            <w:instrText xml:space="preserve"> PAGEREF _Toc14559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_Toc11429 </w:instrText>
          </w:r>
          <w:r>
            <w:rPr>
              <w:rFonts w:ascii="宋体" w:eastAsia="宋体" w:hAnsi="宋体" w:cs="宋体" w:hint="eastAsia"/>
              <w:szCs w:val="24"/>
            </w:rPr>
            <w:fldChar w:fldCharType="separate"/>
          </w:r>
          <w:r>
            <w:rPr>
              <w:rFonts w:hint="eastAsia"/>
              <w:lang w:val="en-US" w:eastAsia="zh-CN"/>
            </w:rPr>
            <w:t>翔云系统运维服务项目</w:t>
          </w:r>
          <w:r>
            <w:tab/>
          </w:r>
          <w:r>
            <w:fldChar w:fldCharType="begin"/>
          </w:r>
          <w:r>
            <w:instrText xml:space="preserve"> PAGEREF _Toc11429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_Toc12913 </w:instrText>
          </w:r>
          <w:r>
            <w:rPr>
              <w:rFonts w:ascii="宋体" w:eastAsia="宋体" w:hAnsi="宋体" w:cs="宋体" w:hint="eastAsia"/>
              <w:szCs w:val="24"/>
            </w:rPr>
            <w:fldChar w:fldCharType="separate"/>
          </w:r>
          <w:r>
            <w:rPr>
              <w:rFonts w:hint="eastAsia"/>
              <w:lang w:val="en-US" w:eastAsia="zh-CN"/>
            </w:rPr>
            <w:t>应急演练报告</w:t>
          </w:r>
          <w:r>
            <w:tab/>
          </w:r>
          <w:r>
            <w:fldChar w:fldCharType="begin"/>
          </w:r>
          <w:r>
            <w:instrText xml:space="preserve"> PAGEREF _Toc12913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_Toc27486 </w:instrText>
          </w:r>
          <w:r>
            <w:rPr>
              <w:rFonts w:ascii="宋体" w:eastAsia="宋体" w:hAnsi="宋体" w:cs="宋体" w:hint="eastAsia"/>
              <w:szCs w:val="24"/>
            </w:rPr>
            <w:fldChar w:fldCharType="separate"/>
          </w:r>
          <w:r>
            <w:rPr>
              <w:rFonts w:hint="default"/>
              <w:lang w:val="en-US" w:eastAsia="zh-CN"/>
            </w:rPr>
            <w:t>1. 摘要</w:t>
          </w:r>
          <w:r>
            <w:tab/>
          </w:r>
          <w:r>
            <w:fldChar w:fldCharType="begin"/>
          </w:r>
          <w:r>
            <w:instrText xml:space="preserve"> PAGEREF _Toc27486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_Toc22677 </w:instrText>
          </w:r>
          <w:r>
            <w:rPr>
              <w:rFonts w:ascii="宋体" w:eastAsia="宋体" w:hAnsi="宋体" w:cs="宋体" w:hint="eastAsia"/>
              <w:szCs w:val="24"/>
            </w:rPr>
            <w:fldChar w:fldCharType="separate"/>
          </w:r>
          <w:r>
            <w:rPr>
              <w:rFonts w:hint="default"/>
              <w:lang w:val="en-US" w:eastAsia="zh-CN"/>
            </w:rPr>
            <w:t>2. 演练概述</w:t>
          </w:r>
          <w:r>
            <w:tab/>
          </w:r>
          <w:r>
            <w:fldChar w:fldCharType="begin"/>
          </w:r>
          <w:r>
            <w:instrText xml:space="preserve"> PAGEREF _Toc22677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_Toc9258 </w:instrText>
          </w:r>
          <w:r>
            <w:rPr>
              <w:rFonts w:ascii="宋体" w:eastAsia="宋体" w:hAnsi="宋体" w:cs="宋体" w:hint="eastAsia"/>
              <w:szCs w:val="24"/>
            </w:rPr>
            <w:fldChar w:fldCharType="separate"/>
          </w:r>
          <w:r>
            <w:rPr>
              <w:rFonts w:hint="default"/>
              <w:lang w:val="en-US" w:eastAsia="zh-CN"/>
            </w:rPr>
            <w:t>3. 演练目标达成情况评估</w:t>
          </w:r>
          <w:r>
            <w:tab/>
          </w:r>
          <w:r>
            <w:fldChar w:fldCharType="begin"/>
          </w:r>
          <w:r>
            <w:instrText xml:space="preserve"> PAGEREF _Toc9258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_Toc13871 </w:instrText>
          </w:r>
          <w:r>
            <w:rPr>
              <w:rFonts w:ascii="宋体" w:eastAsia="宋体" w:hAnsi="宋体" w:cs="宋体" w:hint="eastAsia"/>
              <w:szCs w:val="24"/>
            </w:rPr>
            <w:fldChar w:fldCharType="separate"/>
          </w:r>
          <w:r>
            <w:rPr>
              <w:rFonts w:hint="default"/>
              <w:lang w:val="en-US" w:eastAsia="zh-CN"/>
            </w:rPr>
            <w:t>4. 演练过程关键发现</w:t>
          </w:r>
          <w:r>
            <w:tab/>
          </w:r>
          <w:r>
            <w:fldChar w:fldCharType="begin"/>
          </w:r>
          <w:r>
            <w:instrText xml:space="preserve"> PAGEREF _Toc13871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_Toc22146 </w:instrText>
          </w:r>
          <w:r>
            <w:rPr>
              <w:rFonts w:ascii="宋体" w:eastAsia="宋体" w:hAnsi="宋体" w:cs="宋体" w:hint="eastAsia"/>
              <w:szCs w:val="24"/>
            </w:rPr>
            <w:fldChar w:fldCharType="separate"/>
          </w:r>
          <w:r>
            <w:rPr>
              <w:rFonts w:hint="default"/>
              <w:lang w:val="en-US" w:eastAsia="zh-CN"/>
            </w:rPr>
            <w:t>5. 改进措施与跟踪计划</w:t>
          </w:r>
          <w:r>
            <w:tab/>
          </w:r>
          <w:r>
            <w:fldChar w:fldCharType="begin"/>
          </w:r>
          <w:r>
            <w:instrText xml:space="preserve"> PAGEREF _Toc22146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_Toc5209 </w:instrText>
          </w:r>
          <w:r>
            <w:rPr>
              <w:rFonts w:ascii="宋体" w:eastAsia="宋体" w:hAnsi="宋体" w:cs="宋体" w:hint="eastAsia"/>
              <w:szCs w:val="24"/>
            </w:rPr>
            <w:fldChar w:fldCharType="separate"/>
          </w:r>
          <w:r>
            <w:rPr>
              <w:rFonts w:hint="default"/>
              <w:lang w:val="en-US" w:eastAsia="zh-CN"/>
            </w:rPr>
            <w:t>6. 知识沉淀成果</w:t>
          </w:r>
          <w:r>
            <w:tab/>
          </w:r>
          <w:r>
            <w:fldChar w:fldCharType="begin"/>
          </w:r>
          <w:r>
            <w:instrText xml:space="preserve"> PAGEREF _Toc5209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_Toc22672 </w:instrText>
          </w:r>
          <w:r>
            <w:rPr>
              <w:rFonts w:ascii="宋体" w:eastAsia="宋体" w:hAnsi="宋体" w:cs="宋体" w:hint="eastAsia"/>
              <w:szCs w:val="24"/>
            </w:rPr>
            <w:fldChar w:fldCharType="separate"/>
          </w:r>
          <w:r>
            <w:rPr>
              <w:rFonts w:hint="default"/>
              <w:lang w:val="en-US" w:eastAsia="zh-CN"/>
            </w:rPr>
            <w:t>7. 结论与建议</w:t>
          </w:r>
          <w:r>
            <w:tab/>
          </w:r>
          <w:r>
            <w:fldChar w:fldCharType="begin"/>
          </w:r>
          <w:r>
            <w:instrText xml:space="preserve"> PAGEREF _Toc22672 \h </w:instrText>
          </w:r>
          <w:r>
            <w:fldChar w:fldCharType="separate"/>
          </w:r>
          <w:r>
            <w:t>6</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7486"/>
      <w:r>
        <w:rPr>
          <w:rFonts w:hint="default"/>
          <w:lang w:val="en-US" w:eastAsia="zh-CN"/>
        </w:rPr>
        <w:t>摘要</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演练于2025年10月15日成功举行，旨在检验项目团队对“核心财务模块瘫痪及关键外部接口中断”这一P1级复合事件的应急响应能力。演练严格遵循《应急演练大纲》与《应急演练预案》，通过模拟真实场景，全面验证了应急管理部的指挥机制、跨团队协同流程及合同SLA符合性。演练基本达成预设目标，同时在恢复时效、指挥设备、内部沟通三方面识别出改进项，已制定改进计划并纳入跟踪。</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2677"/>
      <w:r>
        <w:rPr>
          <w:rFonts w:hint="default"/>
          <w:lang w:val="en-US" w:eastAsia="zh-CN"/>
        </w:rPr>
        <w:t>演练概述</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演练目的：检验P1级事件下，从事件上报、应急管理部成立、协同处置到业务恢复的全流程；验证《运维应急管理制度》与合同SLA的执行符合性；沉淀应急操作知识。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演练类型：模拟演练（测试环境）。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参演团队：应急管理部（指挥长、副指挥长、成员）、</w:t>
      </w:r>
      <w:r>
        <w:rPr>
          <w:rFonts w:hint="eastAsia"/>
          <w:lang w:val="en-US" w:eastAsia="zh-CN"/>
        </w:rPr>
        <w:t>数智运营部、研发总院</w:t>
      </w:r>
      <w:r>
        <w:rPr>
          <w:rFonts w:hint="default"/>
          <w:lang w:val="en-US" w:eastAsia="zh-CN"/>
        </w:rPr>
        <w:t>。</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9258"/>
      <w:r>
        <w:rPr>
          <w:rFonts w:hint="default"/>
          <w:lang w:val="en-US" w:eastAsia="zh-CN"/>
        </w:rPr>
        <w:t>演练目标达成情况评估</w:t>
      </w:r>
      <w:bookmarkEnd w:id="6"/>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1139"/>
        <w:gridCol w:w="1909"/>
        <w:gridCol w:w="2186"/>
        <w:gridCol w:w="1151"/>
        <w:gridCol w:w="2137"/>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rHeight w:val="0"/>
          <w:tblHeader/>
          <w:jc w:val="center"/>
        </w:trPr>
        <w:tc>
          <w:tcPr>
            <w:tcW w:w="1139" w:type="dxa"/>
            <w:tcBorders>
              <w:top w:val="single" w:sz="12"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评估维度</w:t>
            </w:r>
          </w:p>
        </w:tc>
        <w:tc>
          <w:tcPr>
            <w:tcW w:w="1909"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预案目标</w:t>
            </w:r>
          </w:p>
        </w:tc>
        <w:tc>
          <w:tcPr>
            <w:tcW w:w="2186"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实际表现</w:t>
            </w:r>
          </w:p>
        </w:tc>
        <w:tc>
          <w:tcPr>
            <w:tcW w:w="1151"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评估结果</w:t>
            </w:r>
          </w:p>
        </w:tc>
        <w:tc>
          <w:tcPr>
            <w:tcW w:w="2137" w:type="dxa"/>
            <w:tcBorders>
              <w:top w:val="single" w:sz="12" w:space="0" w:color="auto"/>
              <w:left w:val="single" w:sz="4" w:space="0" w:color="auto"/>
              <w:bottom w:val="single" w:sz="4" w:space="0" w:color="auto"/>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39"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架构合规性</w:t>
            </w:r>
          </w:p>
        </w:tc>
        <w:tc>
          <w:tcPr>
            <w:tcW w:w="1909"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应急管理部按规定成立并运作</w:t>
            </w:r>
          </w:p>
        </w:tc>
        <w:tc>
          <w:tcPr>
            <w:tcW w:w="218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事件上报后9分20秒内成立，指挥有效</w:t>
            </w:r>
          </w:p>
        </w:tc>
        <w:tc>
          <w:tcPr>
            <w:tcW w:w="1151"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 完全达成</w:t>
            </w:r>
          </w:p>
        </w:tc>
        <w:tc>
          <w:tcPr>
            <w:tcW w:w="2137"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核心指挥机制得到成功验证</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39"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SLA时效性</w:t>
            </w:r>
          </w:p>
        </w:tc>
        <w:tc>
          <w:tcPr>
            <w:tcW w:w="1909"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15分钟内响应，2小时内恢复</w:t>
            </w:r>
          </w:p>
        </w:tc>
        <w:tc>
          <w:tcPr>
            <w:tcW w:w="218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14分40秒响应（达标），2小时10分恢复</w:t>
            </w:r>
          </w:p>
        </w:tc>
        <w:tc>
          <w:tcPr>
            <w:tcW w:w="1151"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 部分达成</w:t>
            </w:r>
          </w:p>
        </w:tc>
        <w:tc>
          <w:tcPr>
            <w:tcW w:w="2137"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恢复时间因测试环境资源问题超时10分钟</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39"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流程符合性</w:t>
            </w:r>
          </w:p>
        </w:tc>
        <w:tc>
          <w:tcPr>
            <w:tcW w:w="1909"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符合制度及预案流程</w:t>
            </w:r>
          </w:p>
        </w:tc>
        <w:tc>
          <w:tcPr>
            <w:tcW w:w="218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各环节执行无跳步，与预案高度一致</w:t>
            </w:r>
          </w:p>
        </w:tc>
        <w:tc>
          <w:tcPr>
            <w:tcW w:w="1151"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 完全达成</w:t>
            </w:r>
          </w:p>
        </w:tc>
        <w:tc>
          <w:tcPr>
            <w:tcW w:w="2137"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流程执行力良好</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39"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沟通有效性</w:t>
            </w:r>
          </w:p>
        </w:tc>
        <w:tc>
          <w:tcPr>
            <w:tcW w:w="1909"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内外沟通准确、及时</w:t>
            </w:r>
          </w:p>
        </w:tc>
        <w:tc>
          <w:tcPr>
            <w:tcW w:w="218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内部上报清晰，对外发送4次通告均准时</w:t>
            </w:r>
          </w:p>
        </w:tc>
        <w:tc>
          <w:tcPr>
            <w:tcW w:w="1151"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 完全达成</w:t>
            </w:r>
          </w:p>
        </w:tc>
        <w:tc>
          <w:tcPr>
            <w:tcW w:w="2137"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沟通流程执行到位</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39"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团队协同性</w:t>
            </w:r>
          </w:p>
        </w:tc>
        <w:tc>
          <w:tcPr>
            <w:tcW w:w="1909"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跨团队信息共享与行动协同顺畅</w:t>
            </w:r>
          </w:p>
        </w:tc>
        <w:tc>
          <w:tcPr>
            <w:tcW w:w="218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在应急管理部调度下，协作良好</w:t>
            </w:r>
          </w:p>
        </w:tc>
        <w:tc>
          <w:tcPr>
            <w:tcW w:w="1151"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 达成</w:t>
            </w:r>
          </w:p>
        </w:tc>
        <w:tc>
          <w:tcPr>
            <w:tcW w:w="2137"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协同机制运作正常</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39" w:type="dxa"/>
            <w:tcBorders>
              <w:top w:val="single" w:sz="4" w:space="0" w:color="auto"/>
              <w:left w:val="single" w:sz="12" w:space="0" w:color="auto"/>
              <w:bottom w:val="single" w:sz="12"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知识采集</w:t>
            </w:r>
          </w:p>
        </w:tc>
        <w:tc>
          <w:tcPr>
            <w:tcW w:w="1909"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完整记录可转化知识</w:t>
            </w:r>
          </w:p>
        </w:tc>
        <w:tc>
          <w:tcPr>
            <w:tcW w:w="2186"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采集了完整的技术步骤与决策日志</w:t>
            </w:r>
          </w:p>
        </w:tc>
        <w:tc>
          <w:tcPr>
            <w:tcW w:w="1151"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 达成</w:t>
            </w:r>
          </w:p>
        </w:tc>
        <w:tc>
          <w:tcPr>
            <w:tcW w:w="213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为知识库沉淀奠定基础</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总体结论：本次演练成功，核心流程与协同机制得到有效验证，团队应急响应能力达到预期水平。虽恢复时效未完全达标，但根本原因明确，为后续改进提供了清晰方向。</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3871"/>
      <w:r>
        <w:rPr>
          <w:rFonts w:hint="default"/>
          <w:lang w:val="en-US" w:eastAsia="zh-CN"/>
        </w:rPr>
        <w:t>演练过程关键发现</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成功经验：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应急启动迅速：服务台至应急管理部成立的决策链清晰、高效，响应启动时间控制在10分钟内。</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指挥体系有效：应急管理部作为临时指挥中枢，在统筹技术排查、协调研发支持、决策恢复方案方面发挥了核心作用。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流程执行规范：各岗位人员对自身职责和预案流程熟悉，操作规范，未出现流程性错误。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识别问题与根本原因分析：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问题一：业务恢复时间略超2小时目标。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根本原因：恢复方案中“分节点恢复”步骤，因演练专用测试环境中一台服务器资源（CPU/内存）不足，导致该节点服务启动延迟约8分钟。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责任团队：数智运营部。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问题二：应急指挥中心首次会议时，共享屏幕切换不畅。</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根本原因：视频会议软件与投影仪存在兼容性问题，演练前未进行联合调试。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责任团队：数智运营部（行政支持）。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问题三：服务台发送首条对外通告后，未在内部指挥群同步确认。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根本原因：现有沟通脚本（SOP）未明确要求此步骤，专员专注于执行对外沟通任务。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责任团队：服务台。</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2146"/>
      <w:r>
        <w:rPr>
          <w:rFonts w:hint="default"/>
          <w:lang w:val="en-US" w:eastAsia="zh-CN"/>
        </w:rPr>
        <w:t>改进措施与跟踪计划</w:t>
      </w:r>
      <w:bookmarkEnd w:id="8"/>
    </w:p>
    <w:tbl>
      <w:tblPr>
        <w:tblStyle w:val="TableNormal"/>
        <w:tblW w:w="9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508"/>
        <w:gridCol w:w="2981"/>
        <w:gridCol w:w="1156"/>
        <w:gridCol w:w="1305"/>
        <w:gridCol w:w="2874"/>
        <w:gridCol w:w="677"/>
      </w:tblGrid>
      <w:tr>
        <w:tblPrEx>
          <w:tblW w:w="9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rHeight w:val="0"/>
          <w:tblHeader/>
          <w:jc w:val="center"/>
        </w:trPr>
        <w:tc>
          <w:tcPr>
            <w:tcW w:w="511"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序号</w:t>
            </w:r>
          </w:p>
        </w:tc>
        <w:tc>
          <w:tcPr>
            <w:tcW w:w="303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改进措施描述</w:t>
            </w:r>
          </w:p>
        </w:tc>
        <w:tc>
          <w:tcPr>
            <w:tcW w:w="117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责任角色/团队</w:t>
            </w:r>
          </w:p>
        </w:tc>
        <w:tc>
          <w:tcPr>
            <w:tcW w:w="107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计划完成时限</w:t>
            </w:r>
          </w:p>
        </w:tc>
        <w:tc>
          <w:tcPr>
            <w:tcW w:w="2924"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验收标准</w:t>
            </w:r>
          </w:p>
        </w:tc>
        <w:tc>
          <w:tcPr>
            <w:tcW w:w="68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当前状态</w:t>
            </w:r>
          </w:p>
        </w:tc>
      </w:tr>
      <w:tr>
        <w:tblPrEx>
          <w:tblW w:w="9501" w:type="dxa"/>
          <w:jc w:val="center"/>
          <w:shd w:val="clear" w:color="auto" w:fill="auto"/>
          <w:tblCellMar>
            <w:top w:w="15" w:type="dxa"/>
            <w:left w:w="15" w:type="dxa"/>
            <w:bottom w:w="15" w:type="dxa"/>
            <w:right w:w="15" w:type="dxa"/>
          </w:tblCellMar>
        </w:tblPrEx>
        <w:trPr>
          <w:trHeight w:val="0"/>
          <w:jc w:val="center"/>
        </w:trPr>
        <w:tc>
          <w:tcPr>
            <w:tcW w:w="511"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303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将演练/应急专用测试环境的资源健康度检查纳入《演练前置检查清单》。</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优化恢复脚本，增加对资源状态的预检与容错逻辑。</w:t>
            </w:r>
          </w:p>
        </w:tc>
        <w:tc>
          <w:tcPr>
            <w:tcW w:w="117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数智运营部</w:t>
            </w:r>
          </w:p>
        </w:tc>
        <w:tc>
          <w:tcPr>
            <w:tcW w:w="107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2025-11-10</w:t>
            </w:r>
          </w:p>
        </w:tc>
        <w:tc>
          <w:tcPr>
            <w:tcW w:w="2924"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检查清单更新并发布。</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新脚本在测试环境验证通过。</w:t>
            </w:r>
          </w:p>
        </w:tc>
        <w:tc>
          <w:tcPr>
            <w:tcW w:w="68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待启动</w:t>
            </w:r>
          </w:p>
        </w:tc>
      </w:tr>
      <w:tr>
        <w:tblPrEx>
          <w:tblW w:w="9501" w:type="dxa"/>
          <w:jc w:val="center"/>
          <w:shd w:val="clear" w:color="auto" w:fill="auto"/>
          <w:tblCellMar>
            <w:top w:w="15" w:type="dxa"/>
            <w:left w:w="15" w:type="dxa"/>
            <w:bottom w:w="15" w:type="dxa"/>
            <w:right w:w="15" w:type="dxa"/>
          </w:tblCellMar>
        </w:tblPrEx>
        <w:trPr>
          <w:trHeight w:val="0"/>
          <w:jc w:val="center"/>
        </w:trPr>
        <w:tc>
          <w:tcPr>
            <w:tcW w:w="511"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w:t>
            </w:r>
          </w:p>
        </w:tc>
        <w:tc>
          <w:tcPr>
            <w:tcW w:w="303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制定《应急指挥中心设备检查清单》，并于每次演练或应急前强制完成检查。</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准备关键信息的纸质备份预案。</w:t>
            </w:r>
          </w:p>
        </w:tc>
        <w:tc>
          <w:tcPr>
            <w:tcW w:w="117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数智运营部</w:t>
            </w:r>
          </w:p>
        </w:tc>
        <w:tc>
          <w:tcPr>
            <w:tcW w:w="107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2025-11-05</w:t>
            </w:r>
          </w:p>
        </w:tc>
        <w:tc>
          <w:tcPr>
            <w:tcW w:w="2924"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检查清单制定并投入使用。</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纸质备份方案在下次演练中验证。</w:t>
            </w:r>
          </w:p>
        </w:tc>
        <w:tc>
          <w:tcPr>
            <w:tcW w:w="68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待启动</w:t>
            </w:r>
          </w:p>
        </w:tc>
      </w:tr>
      <w:tr>
        <w:tblPrEx>
          <w:tblW w:w="9501" w:type="dxa"/>
          <w:jc w:val="center"/>
          <w:shd w:val="clear" w:color="auto" w:fill="auto"/>
          <w:tblCellMar>
            <w:top w:w="15" w:type="dxa"/>
            <w:left w:w="15" w:type="dxa"/>
            <w:bottom w:w="15" w:type="dxa"/>
            <w:right w:w="15" w:type="dxa"/>
          </w:tblCellMar>
        </w:tblPrEx>
        <w:trPr>
          <w:trHeight w:val="0"/>
          <w:jc w:val="center"/>
        </w:trPr>
        <w:tc>
          <w:tcPr>
            <w:tcW w:w="511"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w:t>
            </w:r>
          </w:p>
        </w:tc>
        <w:tc>
          <w:tcPr>
            <w:tcW w:w="303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更新服务台通告模板和SOP，增加“对外发送后，立即在内部指挥群截图确认”的强制步骤。</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组织相关情景的专题培训。</w:t>
            </w:r>
          </w:p>
        </w:tc>
        <w:tc>
          <w:tcPr>
            <w:tcW w:w="117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w:t>
            </w:r>
          </w:p>
        </w:tc>
        <w:tc>
          <w:tcPr>
            <w:tcW w:w="107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2025-11-15</w:t>
            </w:r>
          </w:p>
        </w:tc>
        <w:tc>
          <w:tcPr>
            <w:tcW w:w="2924"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SOP文件修订发布。</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培训完成且有记录。</w:t>
            </w:r>
          </w:p>
        </w:tc>
        <w:tc>
          <w:tcPr>
            <w:tcW w:w="680" w:type="dxa"/>
            <w:shd w:val="clear" w:color="auto" w:fill="auto"/>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eastAsia"/>
                <w:i w:val="0"/>
                <w:iCs w:val="0"/>
                <w:caps w:val="0"/>
                <w:color w:val="0F1115"/>
                <w:spacing w:val="0"/>
                <w:sz w:val="18"/>
                <w:szCs w:val="19"/>
              </w:rPr>
            </w:pP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改进跟踪责任方：质量管理部将负责监督以上改进措施的落实，并定期在项目例会中汇报进度。</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5209"/>
      <w:r>
        <w:rPr>
          <w:rFonts w:hint="default"/>
          <w:lang w:val="en-US" w:eastAsia="zh-CN"/>
        </w:rPr>
        <w:t>知识沉淀成果</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本次演练已生成并归档以下知识资产：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结构化知识条目：主题为“复合型P1事件（财务模块+SAP接口）应急响应流程”，已包含场景、步骤、决策点、沟通模板，提交至项目知识库待审核发布。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过程资产：《应急演练预案》、《应急演练记录》及本报告，已归档至项目文档库“应急演练”目录，作为未来演练和培训的参考资料。</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2672"/>
      <w:r>
        <w:rPr>
          <w:rFonts w:hint="default"/>
          <w:lang w:val="en-US" w:eastAsia="zh-CN"/>
        </w:rPr>
        <w:t>结论与建议</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结论：本次应急演练有效提升了项目团队对重大复合故障的应急响应与协同处置能力，验证了应急预案的可行性，并暴露了在资源保障、设备调试和流程细节方面的提升空间。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建议将本次演练的成功经验与改进措施，在部门内进行分享，固化优秀实践。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建议按计划跟踪并完成所有改进措施，并在下一季度（Q4）的演练中，针对性复验“恢复脚本优化”和“内部沟通同步”两项改进效果。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建议将《应急指挥中心设备检查清单》的适用范围扩大到所有重大变更上线前的准备会。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6</Pages>
  <Words>1415</Words>
  <Characters>1515</Characters>
  <Application>Microsoft Office Word</Application>
  <DocSecurity>0</DocSecurity>
  <Lines>0</Lines>
  <Paragraphs>0</Paragraphs>
  <ScaleCrop>false</ScaleCrop>
  <Company/>
  <LinksUpToDate>false</LinksUpToDate>
  <CharactersWithSpaces>1562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2026-02-01T21:10:59Z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