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8753DD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3168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4049E5D0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2622"/>
      <w:r>
        <w:rPr>
          <w:rFonts w:hint="eastAsia"/>
          <w:lang w:val="en-US" w:eastAsia="zh-CN"/>
        </w:rPr>
        <w:t>运维服务能力改进管理制度</w:t>
      </w:r>
      <w:bookmarkEnd w:id="1"/>
    </w:p>
    <w:p w14:paraId="2220997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3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2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6E8C39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10" w:hRule="atLeast"/>
          <w:jc w:val="center"/>
        </w:trPr>
        <w:tc>
          <w:tcPr>
            <w:tcW w:w="2432" w:type="dxa"/>
          </w:tcPr>
          <w:p w14:paraId="365541E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质量管理部</w:t>
            </w:r>
          </w:p>
        </w:tc>
        <w:tc>
          <w:tcPr>
            <w:tcW w:w="2708" w:type="dxa"/>
          </w:tcPr>
          <w:p w14:paraId="2AA787C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012777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5ADAD44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5F35828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04B352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629438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68EBC3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4D87F94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089849B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4D6F90D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442259D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09D7218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5746F80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46621C5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7EEBBC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6426127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60D0C4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436C3CD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7DC2D4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29194B8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49CB9F4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 w14:paraId="0681B15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3E1D93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584FC29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2BC31E2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03A2269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CE7D65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5B90D93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02ECC1A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271BF5C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12D82C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54F0E8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7C7089B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7D62634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3175FE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71C8F03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2B9AF0C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31596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3DA3F39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7063C84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4A7DED7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5BBE48C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440E742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49A1AF5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6031015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243A4316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00267004">
          <w:pPr>
            <w:pStyle w:val="16"/>
            <w:tabs>
              <w:tab w:val="right" w:leader="dot" w:pos="8306"/>
            </w:tabs>
          </w:pPr>
          <w:bookmarkStart w:id="26" w:name="_GoBack"/>
          <w:bookmarkEnd w:id="26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_Toc3168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_Toc3168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4D83B6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_Toc12622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运维服务能力改进管理制度</w:t>
          </w:r>
          <w:r>
            <w:tab/>
          </w:r>
          <w:r>
            <w:fldChar w:fldCharType="begin"/>
          </w:r>
          <w:r>
            <w:instrText xml:space="preserve"> PAGEREF _Toc12622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6D0E0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_Toc1537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29E535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_Toc28383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_Toc28383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C62B4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_Toc11024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_Toc11024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D6802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_Toc20238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管理目标</w:t>
          </w:r>
          <w:r>
            <w:tab/>
          </w:r>
          <w:r>
            <w:fldChar w:fldCharType="begin"/>
          </w:r>
          <w:r>
            <w:instrText xml:space="preserve"> PAGEREF _Toc20238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ACFC6D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_Toc25235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 术语定义</w:t>
          </w:r>
          <w:r>
            <w:tab/>
          </w:r>
          <w:r>
            <w:fldChar w:fldCharType="begin"/>
          </w:r>
          <w:r>
            <w:instrText xml:space="preserve"> PAGEREF _Toc25235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E5319A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_Toc19960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组织与职责</w:t>
          </w:r>
          <w:r>
            <w:tab/>
          </w:r>
          <w:r>
            <w:fldChar w:fldCharType="begin"/>
          </w:r>
          <w:r>
            <w:instrText xml:space="preserve"> PAGEREF _Toc19960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7B613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_Toc27802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质量管理部</w:t>
          </w:r>
          <w:r>
            <w:tab/>
          </w:r>
          <w:r>
            <w:fldChar w:fldCharType="begin"/>
          </w:r>
          <w:r>
            <w:instrText xml:space="preserve"> PAGEREF _Toc27802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CAE185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_Toc13873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数智运营部</w:t>
          </w:r>
          <w:r>
            <w:tab/>
          </w:r>
          <w:r>
            <w:fldChar w:fldCharType="begin"/>
          </w:r>
          <w:r>
            <w:instrText xml:space="preserve"> PAGEREF _Toc13873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2783E5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_Toc20775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2.3. 研究总院</w:t>
          </w:r>
          <w:r>
            <w:tab/>
          </w:r>
          <w:r>
            <w:fldChar w:fldCharType="begin"/>
          </w:r>
          <w:r>
            <w:instrText xml:space="preserve"> PAGEREF _Toc20775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3CEFB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_Toc8324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 人力部</w:t>
          </w:r>
          <w:r>
            <w:tab/>
          </w:r>
          <w:r>
            <w:fldChar w:fldCharType="begin"/>
          </w:r>
          <w:r>
            <w:instrText xml:space="preserve"> PAGEREF _Toc8324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8A806C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_Toc31584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2.5. 应急管理部</w:t>
          </w:r>
          <w:r>
            <w:tab/>
          </w:r>
          <w:r>
            <w:fldChar w:fldCharType="begin"/>
          </w:r>
          <w:r>
            <w:instrText xml:space="preserve"> PAGEREF _Toc31584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D5AEA6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_Toc21216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2.6. </w:t>
          </w:r>
          <w:r>
            <w:rPr>
              <w:rFonts w:hint="eastAsia"/>
              <w:lang w:val="en-US" w:eastAsia="zh-CN"/>
            </w:rPr>
            <w:t>管理者代表</w:t>
          </w:r>
          <w:r>
            <w:tab/>
          </w:r>
          <w:r>
            <w:fldChar w:fldCharType="begin"/>
          </w:r>
          <w:r>
            <w:instrText xml:space="preserve"> PAGEREF _Toc21216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C994B5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改进管理流程</w:t>
          </w:r>
          <w:r>
            <w:tab/>
          </w:r>
          <w:r>
            <w:fldChar w:fldCharType="begin"/>
          </w:r>
          <w:r>
            <w:instrText xml:space="preserve"> PAGEREF _Toc2900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C5F71B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_Toc32653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改进机会识别</w:t>
          </w:r>
          <w:r>
            <w:tab/>
          </w:r>
          <w:r>
            <w:fldChar w:fldCharType="begin"/>
          </w:r>
          <w:r>
            <w:instrText xml:space="preserve"> PAGEREF _Toc32653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066973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_Toc31444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改进建议提交与评估</w:t>
          </w:r>
          <w:r>
            <w:tab/>
          </w:r>
          <w:r>
            <w:fldChar w:fldCharType="begin"/>
          </w:r>
          <w:r>
            <w:instrText xml:space="preserve"> PAGEREF _Toc31444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8CA8BA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_Toc12057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改进计划制定与审批</w:t>
          </w:r>
          <w:r>
            <w:tab/>
          </w:r>
          <w:r>
            <w:fldChar w:fldCharType="begin"/>
          </w:r>
          <w:r>
            <w:instrText xml:space="preserve"> PAGEREF _Toc12057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00AA87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_Toc22066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3.3.1. 计划制定</w:t>
          </w:r>
          <w:r>
            <w:tab/>
          </w:r>
          <w:r>
            <w:fldChar w:fldCharType="begin"/>
          </w:r>
          <w:r>
            <w:instrText xml:space="preserve"> PAGEREF _Toc22066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AE257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_Toc12958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3.3.2. 审批</w:t>
          </w:r>
          <w:r>
            <w:tab/>
          </w:r>
          <w:r>
            <w:fldChar w:fldCharType="begin"/>
          </w:r>
          <w:r>
            <w:instrText xml:space="preserve"> PAGEREF _Toc12958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0FF8DB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_Toc4071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3.4. 改进措施实施与跟踪</w:t>
          </w:r>
          <w:r>
            <w:tab/>
          </w:r>
          <w:r>
            <w:fldChar w:fldCharType="begin"/>
          </w:r>
          <w:r>
            <w:instrText xml:space="preserve"> PAGEREF _Toc4071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209D7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_Toc10578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3.5. 改进效果验证与关闭</w:t>
          </w:r>
          <w:r>
            <w:tab/>
          </w:r>
          <w:r>
            <w:fldChar w:fldCharType="begin"/>
          </w:r>
          <w:r>
            <w:instrText xml:space="preserve"> PAGEREF _Toc10578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8CAC12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_Toc28268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3.6. 知识管理与固化</w:t>
          </w:r>
          <w:r>
            <w:tab/>
          </w:r>
          <w:r>
            <w:fldChar w:fldCharType="begin"/>
          </w:r>
          <w:r>
            <w:instrText xml:space="preserve"> PAGEREF _Toc28268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6DB45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_Toc15233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改进的分类与分级</w:t>
          </w:r>
          <w:r>
            <w:tab/>
          </w:r>
          <w:r>
            <w:fldChar w:fldCharType="begin"/>
          </w:r>
          <w:r>
            <w:instrText xml:space="preserve"> PAGEREF _Toc15233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77DEBE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_Toc19909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持续改进文化</w:t>
          </w:r>
          <w:r>
            <w:tab/>
          </w:r>
          <w:r>
            <w:fldChar w:fldCharType="begin"/>
          </w:r>
          <w:r>
            <w:instrText xml:space="preserve"> PAGEREF _Toc19909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8C16A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_Toc32351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附则</w:t>
          </w:r>
          <w:r>
            <w:tab/>
          </w:r>
          <w:r>
            <w:fldChar w:fldCharType="begin"/>
          </w:r>
          <w:r>
            <w:instrText xml:space="preserve"> PAGEREF _Toc32351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AD63471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3C8CA34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38E1423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" w:name="_Toc1537"/>
      <w:r>
        <w:rPr>
          <w:rFonts w:hint="default"/>
          <w:lang w:val="en-US" w:eastAsia="zh-CN"/>
        </w:rPr>
        <w:t>总则</w:t>
      </w:r>
      <w:bookmarkEnd w:id="2"/>
    </w:p>
    <w:p w14:paraId="2E35C3C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28383"/>
      <w:r>
        <w:rPr>
          <w:rFonts w:hint="default"/>
          <w:lang w:val="en-US" w:eastAsia="zh-CN"/>
        </w:rPr>
        <w:t>目的</w:t>
      </w:r>
      <w:bookmarkEnd w:id="3"/>
    </w:p>
    <w:p w14:paraId="116BE2C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建立系统化、规范化的运维服务能力改进机制，确保江西通信产业服务有限公司（以下简称“公司”）能够主动识别、有效评估、快速实施并验证各类改进机会，形成持续改进的闭环，从而不断提升运维服务效率、质量、客户满意度及核心竞争力，特制定本制度。</w:t>
      </w:r>
    </w:p>
    <w:p w14:paraId="5E40BEE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11024"/>
      <w:r>
        <w:rPr>
          <w:rFonts w:hint="default"/>
          <w:lang w:val="en-US" w:eastAsia="zh-CN"/>
        </w:rPr>
        <w:t>适用范围</w:t>
      </w:r>
      <w:bookmarkEnd w:id="4"/>
    </w:p>
    <w:p w14:paraId="331886E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范围内所有与软件运维服务能力相关的改进活动，包括但不限于对运维流程、技术工具、人员技能、资源配置、管理体系及应急机制等方面的改进。覆盖部门包括数智运营部、研究总院、质量管理部、人力部及应急管理部。</w:t>
      </w:r>
    </w:p>
    <w:p w14:paraId="59E8858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20238"/>
      <w:r>
        <w:rPr>
          <w:rFonts w:hint="default"/>
          <w:lang w:val="en-US" w:eastAsia="zh-CN"/>
        </w:rPr>
        <w:t>管理目标</w:t>
      </w:r>
      <w:bookmarkEnd w:id="5"/>
    </w:p>
    <w:p w14:paraId="0D1778CA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确保改进活动有章可循、有据可查。</w:t>
      </w:r>
    </w:p>
    <w:p w14:paraId="3B9480BE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形成从问题发现到措施验证的完整管理闭环。</w:t>
      </w:r>
    </w:p>
    <w:p w14:paraId="2A5C1664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促进组织学习与知识积累。</w:t>
      </w:r>
    </w:p>
    <w:p w14:paraId="13BFE6E2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确保持续改进成为公司运维服务管理的常态化工作。</w:t>
      </w:r>
    </w:p>
    <w:p w14:paraId="59D77ED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25235"/>
      <w:r>
        <w:rPr>
          <w:rFonts w:hint="default"/>
          <w:lang w:val="en-US" w:eastAsia="zh-CN"/>
        </w:rPr>
        <w:t>术语定义</w:t>
      </w:r>
      <w:bookmarkEnd w:id="6"/>
    </w:p>
    <w:p w14:paraId="53E56A85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改进机会：指任何可能提升服务效率、质量、安全性、客户满意度或降低成本的问题、需求、建议或创新想法。</w:t>
      </w:r>
    </w:p>
    <w:p w14:paraId="67CC5289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改进项：经正式评估和审批后，纳入计划并分配资源进行实施的改进机会。</w:t>
      </w:r>
    </w:p>
    <w:p w14:paraId="3EB43098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改进关闭：改进措施实施完成，且效果经过验证达到预期目标的状态。</w:t>
      </w:r>
    </w:p>
    <w:p w14:paraId="23A19322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19960"/>
      <w:r>
        <w:rPr>
          <w:rFonts w:hint="default"/>
          <w:lang w:val="en-US" w:eastAsia="zh-CN"/>
        </w:rPr>
        <w:t>组织与职责</w:t>
      </w:r>
      <w:bookmarkEnd w:id="7"/>
    </w:p>
    <w:p w14:paraId="2D777FB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27802"/>
      <w:r>
        <w:rPr>
          <w:rFonts w:hint="default"/>
          <w:lang w:val="en-US" w:eastAsia="zh-CN"/>
        </w:rPr>
        <w:t>质量管理部</w:t>
      </w:r>
      <w:bookmarkEnd w:id="8"/>
    </w:p>
    <w:p w14:paraId="434812FE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作为改进管理的归口部门，负责本制度的维护与解释。</w:t>
      </w:r>
    </w:p>
    <w:p w14:paraId="5980CD65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接收、初审、分发来自各渠道的改进建议。</w:t>
      </w:r>
    </w:p>
    <w:p w14:paraId="17708BDA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组织跨部门改进项的评估与优先级排序。</w:t>
      </w:r>
    </w:p>
    <w:p w14:paraId="7372F5B0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监督改进计划的执行与进度跟踪。</w:t>
      </w:r>
    </w:p>
    <w:p w14:paraId="7584A0DD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组织或参与重大改进项的效果验证。</w:t>
      </w:r>
    </w:p>
    <w:p w14:paraId="614513E0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维护《公司改进项跟踪台账》及知识库中的改进案例。</w:t>
      </w:r>
    </w:p>
    <w:p w14:paraId="2ADC29C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13873"/>
      <w:r>
        <w:rPr>
          <w:rFonts w:hint="default"/>
          <w:lang w:val="en-US" w:eastAsia="zh-CN"/>
        </w:rPr>
        <w:t>数智运营部</w:t>
      </w:r>
      <w:bookmarkEnd w:id="9"/>
    </w:p>
    <w:p w14:paraId="7961E50B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负责识别并提交服务交付、事件/问题管理、服务请求履行等日常运营过程中的改进机会。</w:t>
      </w:r>
    </w:p>
    <w:p w14:paraId="4975591B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负责实施与本部门职责相关的改进措施。</w:t>
      </w:r>
    </w:p>
    <w:p w14:paraId="7D06A1DE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参与改进效果的评估与反馈。</w:t>
      </w:r>
    </w:p>
    <w:p w14:paraId="1815F37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20775"/>
      <w:r>
        <w:rPr>
          <w:rFonts w:hint="default"/>
          <w:lang w:val="en-US" w:eastAsia="zh-CN"/>
        </w:rPr>
        <w:t>研究总院</w:t>
      </w:r>
      <w:bookmarkEnd w:id="10"/>
    </w:p>
    <w:p w14:paraId="1E191529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负责识别并提交技术架构、工具平台、自动化脚本、解决方案等方面的技术改进与创新机会。</w:t>
      </w:r>
    </w:p>
    <w:p w14:paraId="10211430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负责实施技术类改进项的研发与部署。</w:t>
      </w:r>
    </w:p>
    <w:p w14:paraId="0D65E912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为其他部门的改进措施提供技术可行性分析与支持。</w:t>
      </w:r>
    </w:p>
    <w:p w14:paraId="6636095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8324"/>
      <w:r>
        <w:rPr>
          <w:rFonts w:hint="default"/>
          <w:lang w:val="en-US" w:eastAsia="zh-CN"/>
        </w:rPr>
        <w:t>人力部</w:t>
      </w:r>
      <w:bookmarkEnd w:id="11"/>
    </w:p>
    <w:p w14:paraId="22D4ADED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负责识别并提交人员培训、技能发展、绩效考核、团队建设等人力资源方面的改进机会。</w:t>
      </w:r>
    </w:p>
    <w:p w14:paraId="01CE9AC4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负责实施人员能力发展相关的改进措施。</w:t>
      </w:r>
    </w:p>
    <w:p w14:paraId="28FCE09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31584"/>
      <w:r>
        <w:rPr>
          <w:rFonts w:hint="default"/>
          <w:lang w:val="en-US" w:eastAsia="zh-CN"/>
        </w:rPr>
        <w:t>应急管理部</w:t>
      </w:r>
      <w:bookmarkEnd w:id="12"/>
    </w:p>
    <w:p w14:paraId="0EAB28B8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负责识别并提交应急预案、演练效果、应急响应流程等方面的改进机会。</w:t>
      </w:r>
    </w:p>
    <w:p w14:paraId="00A1D8BA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负责实施应急响应能力的改进措施。</w:t>
      </w:r>
    </w:p>
    <w:p w14:paraId="26398EC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21216"/>
      <w:r>
        <w:rPr>
          <w:rFonts w:hint="eastAsia"/>
          <w:lang w:val="en-US" w:eastAsia="zh-CN"/>
        </w:rPr>
        <w:t>管理者代表</w:t>
      </w:r>
      <w:bookmarkEnd w:id="13"/>
    </w:p>
    <w:p w14:paraId="0E32FF9C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负责审批重大改进项或涉及重大资源投入的改进计划。</w:t>
      </w:r>
    </w:p>
    <w:p w14:paraId="11D76DBF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听取改进管理工作的整体汇报，倡导持续改进文化。</w:t>
      </w:r>
    </w:p>
    <w:p w14:paraId="5D44A3F9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2900"/>
      <w:r>
        <w:rPr>
          <w:rFonts w:hint="default"/>
          <w:lang w:val="en-US" w:eastAsia="zh-CN"/>
        </w:rPr>
        <w:t>改进管理流程</w:t>
      </w:r>
      <w:bookmarkEnd w:id="14"/>
    </w:p>
    <w:p w14:paraId="595CE72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32653"/>
      <w:r>
        <w:rPr>
          <w:rFonts w:hint="default"/>
          <w:lang w:val="en-US" w:eastAsia="zh-CN"/>
        </w:rPr>
        <w:t>改进机会识别</w:t>
      </w:r>
      <w:bookmarkEnd w:id="15"/>
    </w:p>
    <w:p w14:paraId="0DB640C2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改进机会可通过以下渠道识别：</w:t>
      </w:r>
    </w:p>
    <w:p w14:paraId="41297FA4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服务回顾会议：项目复盘、月度/季度服务评审会。</w:t>
      </w:r>
    </w:p>
    <w:p w14:paraId="2053C4FD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监控与分析：服务质量指标（SLA/KPI）未达标、事件趋势分析。</w:t>
      </w:r>
    </w:p>
    <w:p w14:paraId="4AC6811E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审计与检查：内部审核、管理评审、外部评估发现的不符合项。</w:t>
      </w:r>
    </w:p>
    <w:p w14:paraId="2990C68B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客户与用户反馈：满意度调查、投诉、建议。</w:t>
      </w:r>
    </w:p>
    <w:p w14:paraId="44D20ADE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员工建议：一线运维人员、技术专家的合理化建议。</w:t>
      </w:r>
    </w:p>
    <w:p w14:paraId="0F68FE4E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技术发展：行业新技术、新工具、新方法的应用评估。</w:t>
      </w:r>
    </w:p>
    <w:p w14:paraId="669A8194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战略规划分解：从公司战略和年度能力管理计划中衍生出的改进要求。</w:t>
      </w:r>
    </w:p>
    <w:p w14:paraId="1231C84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31444"/>
      <w:r>
        <w:rPr>
          <w:rFonts w:hint="default"/>
          <w:lang w:val="en-US" w:eastAsia="zh-CN"/>
        </w:rPr>
        <w:t>改进建议提交与评估</w:t>
      </w:r>
      <w:bookmarkEnd w:id="16"/>
    </w:p>
    <w:p w14:paraId="7BF07153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提交：建议人通过公司指定的系统或表单提交《改进建议单》，清晰描述改进背景、现状问题、初步建议及期望收益。</w:t>
      </w:r>
    </w:p>
    <w:p w14:paraId="78B2C068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初审：质量管理部在收到建议后，进行初步筛选与分类，判断其完整性及是否属于改进范畴。</w:t>
      </w:r>
    </w:p>
    <w:p w14:paraId="77F8699F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评估：根据改进建议的影响范围，由质量管理部组织或责成相关部门负责人进行评估。评估内容包括：改进的必要性、紧急性、预期效益、所需资源、实施复杂度及潜在风险。</w:t>
      </w:r>
    </w:p>
    <w:p w14:paraId="140682A7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决策：评估后形成结论：立即采纳、纳入后续计划、需补充信息或不予采纳。结论及理由需反馈至建议人。</w:t>
      </w:r>
    </w:p>
    <w:p w14:paraId="6D07F9E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12057"/>
      <w:r>
        <w:rPr>
          <w:rFonts w:hint="default"/>
          <w:lang w:val="en-US" w:eastAsia="zh-CN"/>
        </w:rPr>
        <w:t>改进计划制定与审批</w:t>
      </w:r>
      <w:bookmarkEnd w:id="17"/>
    </w:p>
    <w:p w14:paraId="4C39135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22066"/>
      <w:r>
        <w:rPr>
          <w:rFonts w:hint="default"/>
          <w:lang w:val="en-US" w:eastAsia="zh-CN"/>
        </w:rPr>
        <w:t>计划制定</w:t>
      </w:r>
      <w:bookmarkEnd w:id="18"/>
    </w:p>
    <w:p w14:paraId="7820853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对于决定采纳的改进项，由责任部门制定详细的《改进实施计划》，明确改进目标、范围、具体措施、责任人与完成时限、验收标准及所需资源。</w:t>
      </w:r>
    </w:p>
    <w:p w14:paraId="7F1701D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12958"/>
      <w:r>
        <w:rPr>
          <w:rFonts w:hint="default"/>
          <w:lang w:val="en-US" w:eastAsia="zh-CN"/>
        </w:rPr>
        <w:t>审批</w:t>
      </w:r>
      <w:bookmarkEnd w:id="19"/>
    </w:p>
    <w:p w14:paraId="16D94490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一般改进项：由责任部门负责人批准。</w:t>
      </w:r>
    </w:p>
    <w:p w14:paraId="1BFCE7A6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重大改进项（涉及跨部门协作、重大资源投入或高风险变更）：由质量管理部审核后，报公司管理层批准。</w:t>
      </w:r>
    </w:p>
    <w:p w14:paraId="3A492C8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4071"/>
      <w:r>
        <w:rPr>
          <w:rFonts w:hint="default"/>
          <w:lang w:val="en-US" w:eastAsia="zh-CN"/>
        </w:rPr>
        <w:t>改进措施实施与跟踪</w:t>
      </w:r>
      <w:bookmarkEnd w:id="20"/>
    </w:p>
    <w:p w14:paraId="686ADA08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实施：责任部门按照批准的《改进实施计划》执行改进措施。</w:t>
      </w:r>
    </w:p>
    <w:p w14:paraId="1C3053E0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跟踪：质量管理部通过《公司改进项跟踪台账》，定期（如每月）跟踪各项改进的实施进度，协调解决跨部门问题，并向管理层报告整体状态（如：计划中、进行中、已延期、已完成、已关闭）。</w:t>
      </w:r>
    </w:p>
    <w:p w14:paraId="6995613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10578"/>
      <w:r>
        <w:rPr>
          <w:rFonts w:hint="default"/>
          <w:lang w:val="en-US" w:eastAsia="zh-CN"/>
        </w:rPr>
        <w:t>改进效果验证与关闭</w:t>
      </w:r>
      <w:bookmarkEnd w:id="21"/>
    </w:p>
    <w:p w14:paraId="4477E8B1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验证：改进措施完成后，由质量管理部会同责任部门及相关方，依据《改进实施计划》中的验收标准，对改进效果进行验证。验证方式可包括数据对比、测试、评审会议等。</w:t>
      </w:r>
    </w:p>
    <w:p w14:paraId="0B488B7D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关闭：验证达到预期目标的改进项，由质量管理部在台账中标记为“已关闭”，并记录最终效果和主要经验。未达到目标的，需退回分析原因，重新制定措施或调整计划。</w:t>
      </w:r>
    </w:p>
    <w:p w14:paraId="1A3E1E96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28268"/>
      <w:r>
        <w:rPr>
          <w:rFonts w:hint="default"/>
          <w:lang w:val="en-US" w:eastAsia="zh-CN"/>
        </w:rPr>
        <w:t>知识管理与固化</w:t>
      </w:r>
      <w:bookmarkEnd w:id="22"/>
    </w:p>
    <w:p w14:paraId="488054C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已关闭的改进项，特别是效果显著的改进案例，应由责任部门整理成标准操作程序（SOP）、技术规范、培训材料或最佳实践案例，经质量管理部审核后，纳入公司服务知识库，供全员学习和推广，实现改进成果的固化与共享。</w:t>
      </w:r>
    </w:p>
    <w:p w14:paraId="7C7F16D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3" w:name="_Toc15233"/>
      <w:r>
        <w:rPr>
          <w:rFonts w:hint="default"/>
          <w:lang w:val="en-US" w:eastAsia="zh-CN"/>
        </w:rPr>
        <w:t>改进的分类与分级</w:t>
      </w:r>
      <w:bookmarkEnd w:id="23"/>
    </w:p>
    <w:p w14:paraId="2AD801A1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按性质分类：流程优化类、技术工具类、人员技能类、管理机制类、应急能力类。</w:t>
      </w:r>
    </w:p>
    <w:p w14:paraId="70425DA4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按影响分级：</w:t>
      </w:r>
    </w:p>
    <w:p w14:paraId="434EF09C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重大改进：需管理层审批，跨部门项目，投入资源多。</w:t>
      </w:r>
    </w:p>
    <w:p w14:paraId="6473AB3E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一般改进：部门内可决策并实施。</w:t>
      </w:r>
    </w:p>
    <w:p w14:paraId="288B15C7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日常优化：可通过快速通道（如团队站会）直接处理并记录。</w:t>
      </w:r>
    </w:p>
    <w:p w14:paraId="63B0B9FC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4" w:name="_Toc19909"/>
      <w:r>
        <w:rPr>
          <w:rFonts w:hint="default"/>
          <w:lang w:val="en-US" w:eastAsia="zh-CN"/>
        </w:rPr>
        <w:t>持续改进文化</w:t>
      </w:r>
      <w:bookmarkEnd w:id="24"/>
    </w:p>
    <w:p w14:paraId="1A7465D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公司倡导和鼓励全员参与改进。对提出有价值改进建议或在改进实施中贡献突出的团队及个人，将依据公司相关规定给予认可或奖励。</w:t>
      </w:r>
    </w:p>
    <w:p w14:paraId="343C60AA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5" w:name="_Toc32351"/>
      <w:r>
        <w:rPr>
          <w:rFonts w:hint="default"/>
          <w:lang w:val="en-US" w:eastAsia="zh-CN"/>
        </w:rPr>
        <w:t>附则</w:t>
      </w:r>
      <w:bookmarkEnd w:id="25"/>
    </w:p>
    <w:p w14:paraId="07379598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本制度由质量管理部负责解释和修订。</w:t>
      </w:r>
    </w:p>
    <w:p w14:paraId="03EE3B2E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本制度自发布之日起正式实施，相关记录表单由质量管理部统一发布。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E4307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43C22752"/>
    <w:multiLevelType w:val="singleLevel"/>
    <w:tmpl w:val="43C2275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EBD7EF5"/>
    <w:rsid w:val="7F204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2367</Words>
  <Characters>2494</Characters>
  <Lines>0</Lines>
  <Paragraphs>0</Paragraphs>
  <TotalTime>0</TotalTime>
  <ScaleCrop>false</ScaleCrop>
  <LinksUpToDate>false</LinksUpToDate>
  <CharactersWithSpaces>2596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2026-02-04T15:24:27Z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