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A9B19B">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4311"/>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7A875E5D">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6604"/>
      <w:bookmarkStart w:id="2" w:name="_Toc24007"/>
      <w:r>
        <w:rPr>
          <w:rFonts w:hint="eastAsia"/>
          <w:lang w:val="en-US" w:eastAsia="zh-CN"/>
        </w:rPr>
        <w:t>运维服务能力管理计划</w:t>
      </w:r>
      <w:bookmarkEnd w:id="1"/>
      <w:bookmarkEnd w:id="2"/>
    </w:p>
    <w:p w14:paraId="5E5DA458">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3</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2C86C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3579815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质量管理部</w:t>
            </w:r>
          </w:p>
        </w:tc>
        <w:tc>
          <w:tcPr>
            <w:tcW w:w="2708" w:type="dxa"/>
          </w:tcPr>
          <w:p w14:paraId="6276D25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14315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1BCD22B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5C2B412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5F802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4A0C318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67E9F9F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6EE5A484">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3BEA3340">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379D44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43C5C1AC">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557296C9">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3C8250D6">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0B96BE01">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7C24D7CD">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0D64EA4F">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209EF0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0A6C8BE7">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30</w:t>
            </w:r>
          </w:p>
        </w:tc>
        <w:tc>
          <w:tcPr>
            <w:tcW w:w="972" w:type="dxa"/>
          </w:tcPr>
          <w:p w14:paraId="24718560">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1D6CB35E">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3F634C90">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徐超超</w:t>
            </w:r>
          </w:p>
        </w:tc>
        <w:tc>
          <w:tcPr>
            <w:tcW w:w="1606" w:type="dxa"/>
          </w:tcPr>
          <w:p w14:paraId="2C1C63DD">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6E2EAA7E">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185ACD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71D6FDF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2C3564E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54DF3BA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6D4EDC5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6BADFA0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18D40A6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1C5C29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08AA132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5E3F088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3339B7A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38F72BA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66FBE2A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092E971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685D5A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77792C9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472EFB3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3343397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1FECCAD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15519D8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1111D45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462216B6">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18EF7F22">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09CD1FEA">
          <w:pPr>
            <w:pStyle w:val="16"/>
            <w:tabs>
              <w:tab w:val="right" w:leader="dot" w:pos="8306"/>
            </w:tabs>
          </w:pPr>
          <w:bookmarkStart w:id="57" w:name="_GoBack"/>
          <w:bookmarkEnd w:id="57"/>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_Toc24311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_Toc24311 \h </w:instrText>
          </w:r>
          <w:r>
            <w:fldChar w:fldCharType="separate"/>
          </w:r>
          <w:r>
            <w:t>1</w:t>
          </w:r>
          <w:r>
            <w:fldChar w:fldCharType="end"/>
          </w:r>
          <w:r>
            <w:rPr>
              <w:rFonts w:hint="eastAsia" w:ascii="宋体" w:hAnsi="宋体" w:eastAsia="宋体" w:cs="宋体"/>
              <w:szCs w:val="24"/>
            </w:rPr>
            <w:fldChar w:fldCharType="end"/>
          </w:r>
        </w:p>
        <w:p w14:paraId="2375B61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_Toc24007 </w:instrText>
          </w:r>
          <w:r>
            <w:rPr>
              <w:rFonts w:hint="eastAsia" w:ascii="宋体" w:hAnsi="宋体" w:eastAsia="宋体" w:cs="宋体"/>
              <w:szCs w:val="24"/>
            </w:rPr>
            <w:fldChar w:fldCharType="separate"/>
          </w:r>
          <w:r>
            <w:rPr>
              <w:rFonts w:hint="eastAsia"/>
              <w:lang w:val="en-US" w:eastAsia="zh-CN"/>
            </w:rPr>
            <w:t>运维服务能力管理计划</w:t>
          </w:r>
          <w:r>
            <w:tab/>
          </w:r>
          <w:r>
            <w:fldChar w:fldCharType="begin"/>
          </w:r>
          <w:r>
            <w:instrText xml:space="preserve"> PAGEREF _Toc24007 \h </w:instrText>
          </w:r>
          <w:r>
            <w:fldChar w:fldCharType="separate"/>
          </w:r>
          <w:r>
            <w:t>1</w:t>
          </w:r>
          <w:r>
            <w:fldChar w:fldCharType="end"/>
          </w:r>
          <w:r>
            <w:rPr>
              <w:rFonts w:hint="eastAsia" w:ascii="宋体" w:hAnsi="宋体" w:eastAsia="宋体" w:cs="宋体"/>
              <w:szCs w:val="24"/>
            </w:rPr>
            <w:fldChar w:fldCharType="end"/>
          </w:r>
        </w:p>
        <w:p w14:paraId="58D4208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_Toc6353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背景概况</w:t>
          </w:r>
          <w:r>
            <w:tab/>
          </w:r>
          <w:r>
            <w:fldChar w:fldCharType="begin"/>
          </w:r>
          <w:r>
            <w:instrText xml:space="preserve"> PAGEREF _Toc6353 \h </w:instrText>
          </w:r>
          <w:r>
            <w:fldChar w:fldCharType="separate"/>
          </w:r>
          <w:r>
            <w:t>5</w:t>
          </w:r>
          <w:r>
            <w:fldChar w:fldCharType="end"/>
          </w:r>
          <w:r>
            <w:rPr>
              <w:rFonts w:hint="eastAsia" w:ascii="宋体" w:hAnsi="宋体" w:eastAsia="宋体" w:cs="宋体"/>
              <w:szCs w:val="24"/>
            </w:rPr>
            <w:fldChar w:fldCharType="end"/>
          </w:r>
        </w:p>
        <w:p w14:paraId="4E053F9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_Toc7919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核心目标</w:t>
          </w:r>
          <w:r>
            <w:tab/>
          </w:r>
          <w:r>
            <w:fldChar w:fldCharType="begin"/>
          </w:r>
          <w:r>
            <w:instrText xml:space="preserve"> PAGEREF _Toc7919 \h </w:instrText>
          </w:r>
          <w:r>
            <w:fldChar w:fldCharType="separate"/>
          </w:r>
          <w:r>
            <w:t>5</w:t>
          </w:r>
          <w:r>
            <w:fldChar w:fldCharType="end"/>
          </w:r>
          <w:r>
            <w:rPr>
              <w:rFonts w:hint="eastAsia" w:ascii="宋体" w:hAnsi="宋体" w:eastAsia="宋体" w:cs="宋体"/>
              <w:szCs w:val="24"/>
            </w:rPr>
            <w:fldChar w:fldCharType="end"/>
          </w:r>
        </w:p>
        <w:p w14:paraId="155B718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_Toc3534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公司沿革与核心优势</w:t>
          </w:r>
          <w:r>
            <w:tab/>
          </w:r>
          <w:r>
            <w:fldChar w:fldCharType="begin"/>
          </w:r>
          <w:r>
            <w:instrText xml:space="preserve"> PAGEREF _Toc3534 \h </w:instrText>
          </w:r>
          <w:r>
            <w:fldChar w:fldCharType="separate"/>
          </w:r>
          <w:r>
            <w:t>5</w:t>
          </w:r>
          <w:r>
            <w:fldChar w:fldCharType="end"/>
          </w:r>
          <w:r>
            <w:rPr>
              <w:rFonts w:hint="eastAsia" w:ascii="宋体" w:hAnsi="宋体" w:eastAsia="宋体" w:cs="宋体"/>
              <w:szCs w:val="24"/>
            </w:rPr>
            <w:fldChar w:fldCharType="end"/>
          </w:r>
        </w:p>
        <w:p w14:paraId="78E24BC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_Toc2230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引入ITSS的必要性</w:t>
          </w:r>
          <w:r>
            <w:tab/>
          </w:r>
          <w:r>
            <w:fldChar w:fldCharType="begin"/>
          </w:r>
          <w:r>
            <w:instrText xml:space="preserve"> PAGEREF _Toc2230 \h </w:instrText>
          </w:r>
          <w:r>
            <w:fldChar w:fldCharType="separate"/>
          </w:r>
          <w:r>
            <w:t>5</w:t>
          </w:r>
          <w:r>
            <w:fldChar w:fldCharType="end"/>
          </w:r>
          <w:r>
            <w:rPr>
              <w:rFonts w:hint="eastAsia" w:ascii="宋体" w:hAnsi="宋体" w:eastAsia="宋体" w:cs="宋体"/>
              <w:szCs w:val="24"/>
            </w:rPr>
            <w:fldChar w:fldCharType="end"/>
          </w:r>
        </w:p>
        <w:p w14:paraId="0B2EA50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_Toc8160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人力资源配置</w:t>
          </w:r>
          <w:r>
            <w:tab/>
          </w:r>
          <w:r>
            <w:fldChar w:fldCharType="begin"/>
          </w:r>
          <w:r>
            <w:instrText xml:space="preserve"> PAGEREF _Toc8160 \h </w:instrText>
          </w:r>
          <w:r>
            <w:fldChar w:fldCharType="separate"/>
          </w:r>
          <w:r>
            <w:t>6</w:t>
          </w:r>
          <w:r>
            <w:fldChar w:fldCharType="end"/>
          </w:r>
          <w:r>
            <w:rPr>
              <w:rFonts w:hint="eastAsia" w:ascii="宋体" w:hAnsi="宋体" w:eastAsia="宋体" w:cs="宋体"/>
              <w:szCs w:val="24"/>
            </w:rPr>
            <w:fldChar w:fldCharType="end"/>
          </w:r>
        </w:p>
        <w:p w14:paraId="456EB2B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_Toc26478 </w:instrText>
          </w:r>
          <w:r>
            <w:rPr>
              <w:rFonts w:hint="eastAsia" w:ascii="宋体" w:hAnsi="宋体" w:eastAsia="宋体" w:cs="宋体"/>
              <w:szCs w:val="24"/>
            </w:rPr>
            <w:fldChar w:fldCharType="separate"/>
          </w:r>
          <w:r>
            <w:rPr>
              <w:rFonts w:hint="default"/>
              <w:lang w:val="en-US" w:eastAsia="zh-CN"/>
            </w:rPr>
            <w:t xml:space="preserve">1.5. </w:t>
          </w:r>
          <w:r>
            <w:rPr>
              <w:rFonts w:hint="eastAsia"/>
              <w:lang w:val="en-US" w:eastAsia="zh-CN"/>
            </w:rPr>
            <w:t>运维保障提升</w:t>
          </w:r>
          <w:r>
            <w:tab/>
          </w:r>
          <w:r>
            <w:fldChar w:fldCharType="begin"/>
          </w:r>
          <w:r>
            <w:instrText xml:space="preserve"> PAGEREF _Toc26478 \h </w:instrText>
          </w:r>
          <w:r>
            <w:fldChar w:fldCharType="separate"/>
          </w:r>
          <w:r>
            <w:t>6</w:t>
          </w:r>
          <w:r>
            <w:fldChar w:fldCharType="end"/>
          </w:r>
          <w:r>
            <w:rPr>
              <w:rFonts w:hint="eastAsia" w:ascii="宋体" w:hAnsi="宋体" w:eastAsia="宋体" w:cs="宋体"/>
              <w:szCs w:val="24"/>
            </w:rPr>
            <w:fldChar w:fldCharType="end"/>
          </w:r>
        </w:p>
        <w:p w14:paraId="475120A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_Toc15249 </w:instrText>
          </w:r>
          <w:r>
            <w:rPr>
              <w:rFonts w:hint="eastAsia" w:ascii="宋体" w:hAnsi="宋体" w:eastAsia="宋体" w:cs="宋体"/>
              <w:szCs w:val="24"/>
            </w:rPr>
            <w:fldChar w:fldCharType="separate"/>
          </w:r>
          <w:r>
            <w:rPr>
              <w:rFonts w:hint="default"/>
              <w:lang w:val="en-US" w:eastAsia="zh-CN"/>
            </w:rPr>
            <w:t xml:space="preserve">1.5.1. </w:t>
          </w:r>
          <w:r>
            <w:rPr>
              <w:rFonts w:hint="eastAsia"/>
              <w:lang w:val="en-US" w:eastAsia="zh-CN"/>
            </w:rPr>
            <w:t>服务台</w:t>
          </w:r>
          <w:r>
            <w:tab/>
          </w:r>
          <w:r>
            <w:fldChar w:fldCharType="begin"/>
          </w:r>
          <w:r>
            <w:instrText xml:space="preserve"> PAGEREF _Toc15249 \h </w:instrText>
          </w:r>
          <w:r>
            <w:fldChar w:fldCharType="separate"/>
          </w:r>
          <w:r>
            <w:t>6</w:t>
          </w:r>
          <w:r>
            <w:fldChar w:fldCharType="end"/>
          </w:r>
          <w:r>
            <w:rPr>
              <w:rFonts w:hint="eastAsia" w:ascii="宋体" w:hAnsi="宋体" w:eastAsia="宋体" w:cs="宋体"/>
              <w:szCs w:val="24"/>
            </w:rPr>
            <w:fldChar w:fldCharType="end"/>
          </w:r>
        </w:p>
        <w:p w14:paraId="2978340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_Toc2289 </w:instrText>
          </w:r>
          <w:r>
            <w:rPr>
              <w:rFonts w:hint="eastAsia" w:ascii="宋体" w:hAnsi="宋体" w:eastAsia="宋体" w:cs="宋体"/>
              <w:szCs w:val="24"/>
            </w:rPr>
            <w:fldChar w:fldCharType="separate"/>
          </w:r>
          <w:r>
            <w:rPr>
              <w:rFonts w:hint="default"/>
              <w:lang w:val="en-US" w:eastAsia="zh-CN"/>
            </w:rPr>
            <w:t xml:space="preserve">1.5.2. </w:t>
          </w:r>
          <w:r>
            <w:rPr>
              <w:rFonts w:hint="eastAsia"/>
              <w:lang w:val="en-US" w:eastAsia="zh-CN"/>
            </w:rPr>
            <w:t>运维工具</w:t>
          </w:r>
          <w:r>
            <w:tab/>
          </w:r>
          <w:r>
            <w:fldChar w:fldCharType="begin"/>
          </w:r>
          <w:r>
            <w:instrText xml:space="preserve"> PAGEREF _Toc2289 \h </w:instrText>
          </w:r>
          <w:r>
            <w:fldChar w:fldCharType="separate"/>
          </w:r>
          <w:r>
            <w:t>6</w:t>
          </w:r>
          <w:r>
            <w:fldChar w:fldCharType="end"/>
          </w:r>
          <w:r>
            <w:rPr>
              <w:rFonts w:hint="eastAsia" w:ascii="宋体" w:hAnsi="宋体" w:eastAsia="宋体" w:cs="宋体"/>
              <w:szCs w:val="24"/>
            </w:rPr>
            <w:fldChar w:fldCharType="end"/>
          </w:r>
        </w:p>
        <w:p w14:paraId="526D74E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_Toc9445 </w:instrText>
          </w:r>
          <w:r>
            <w:rPr>
              <w:rFonts w:hint="eastAsia" w:ascii="宋体" w:hAnsi="宋体" w:eastAsia="宋体" w:cs="宋体"/>
              <w:szCs w:val="24"/>
            </w:rPr>
            <w:fldChar w:fldCharType="separate"/>
          </w:r>
          <w:r>
            <w:rPr>
              <w:rFonts w:hint="default"/>
              <w:lang w:val="en-US" w:eastAsia="zh-CN"/>
            </w:rPr>
            <w:t xml:space="preserve">1.5.3. </w:t>
          </w:r>
          <w:r>
            <w:rPr>
              <w:rFonts w:hint="eastAsia"/>
              <w:lang w:val="en-US" w:eastAsia="zh-CN"/>
            </w:rPr>
            <w:t>服务知识</w:t>
          </w:r>
          <w:r>
            <w:tab/>
          </w:r>
          <w:r>
            <w:fldChar w:fldCharType="begin"/>
          </w:r>
          <w:r>
            <w:instrText xml:space="preserve"> PAGEREF _Toc9445 \h </w:instrText>
          </w:r>
          <w:r>
            <w:fldChar w:fldCharType="separate"/>
          </w:r>
          <w:r>
            <w:t>7</w:t>
          </w:r>
          <w:r>
            <w:fldChar w:fldCharType="end"/>
          </w:r>
          <w:r>
            <w:rPr>
              <w:rFonts w:hint="eastAsia" w:ascii="宋体" w:hAnsi="宋体" w:eastAsia="宋体" w:cs="宋体"/>
              <w:szCs w:val="24"/>
            </w:rPr>
            <w:fldChar w:fldCharType="end"/>
          </w:r>
        </w:p>
        <w:p w14:paraId="1FB7676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_Toc24703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运维服务能力管理计划</w:t>
          </w:r>
          <w:r>
            <w:tab/>
          </w:r>
          <w:r>
            <w:fldChar w:fldCharType="begin"/>
          </w:r>
          <w:r>
            <w:instrText xml:space="preserve"> PAGEREF _Toc24703 \h </w:instrText>
          </w:r>
          <w:r>
            <w:fldChar w:fldCharType="separate"/>
          </w:r>
          <w:r>
            <w:t>7</w:t>
          </w:r>
          <w:r>
            <w:fldChar w:fldCharType="end"/>
          </w:r>
          <w:r>
            <w:rPr>
              <w:rFonts w:hint="eastAsia" w:ascii="宋体" w:hAnsi="宋体" w:eastAsia="宋体" w:cs="宋体"/>
              <w:szCs w:val="24"/>
            </w:rPr>
            <w:fldChar w:fldCharType="end"/>
          </w:r>
        </w:p>
        <w:p w14:paraId="30CAD6F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_Toc27709 </w:instrText>
          </w:r>
          <w:r>
            <w:rPr>
              <w:rFonts w:hint="eastAsia" w:ascii="宋体" w:hAnsi="宋体" w:eastAsia="宋体" w:cs="宋体"/>
              <w:szCs w:val="24"/>
            </w:rPr>
            <w:fldChar w:fldCharType="separate"/>
          </w:r>
          <w:r>
            <w:rPr>
              <w:rFonts w:hint="default"/>
              <w:lang w:val="en-US" w:eastAsia="zh-CN"/>
            </w:rPr>
            <w:t xml:space="preserve">2.1. </w:t>
          </w:r>
          <w:r>
            <w:rPr>
              <w:rFonts w:hint="eastAsia"/>
              <w:lang w:val="en-US" w:eastAsia="zh-CN"/>
            </w:rPr>
            <w:t>人员管理计划</w:t>
          </w:r>
          <w:r>
            <w:tab/>
          </w:r>
          <w:r>
            <w:fldChar w:fldCharType="begin"/>
          </w:r>
          <w:r>
            <w:instrText xml:space="preserve"> PAGEREF _Toc27709 \h </w:instrText>
          </w:r>
          <w:r>
            <w:fldChar w:fldCharType="separate"/>
          </w:r>
          <w:r>
            <w:t>7</w:t>
          </w:r>
          <w:r>
            <w:fldChar w:fldCharType="end"/>
          </w:r>
          <w:r>
            <w:rPr>
              <w:rFonts w:hint="eastAsia" w:ascii="宋体" w:hAnsi="宋体" w:eastAsia="宋体" w:cs="宋体"/>
              <w:szCs w:val="24"/>
            </w:rPr>
            <w:fldChar w:fldCharType="end"/>
          </w:r>
        </w:p>
        <w:p w14:paraId="7C0E35F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_Toc1678 </w:instrText>
          </w:r>
          <w:r>
            <w:rPr>
              <w:rFonts w:hint="eastAsia" w:ascii="宋体" w:hAnsi="宋体" w:eastAsia="宋体" w:cs="宋体"/>
              <w:szCs w:val="24"/>
            </w:rPr>
            <w:fldChar w:fldCharType="separate"/>
          </w:r>
          <w:r>
            <w:rPr>
              <w:rFonts w:hint="default"/>
              <w:lang w:val="en-US" w:eastAsia="zh-CN"/>
            </w:rPr>
            <w:t xml:space="preserve">2.1.1. </w:t>
          </w:r>
          <w:r>
            <w:rPr>
              <w:rFonts w:hint="eastAsia"/>
              <w:lang w:val="en-US" w:eastAsia="zh-CN"/>
            </w:rPr>
            <w:t>人员储备管理计划</w:t>
          </w:r>
          <w:r>
            <w:tab/>
          </w:r>
          <w:r>
            <w:fldChar w:fldCharType="begin"/>
          </w:r>
          <w:r>
            <w:instrText xml:space="preserve"> PAGEREF _Toc1678 \h </w:instrText>
          </w:r>
          <w:r>
            <w:fldChar w:fldCharType="separate"/>
          </w:r>
          <w:r>
            <w:t>7</w:t>
          </w:r>
          <w:r>
            <w:fldChar w:fldCharType="end"/>
          </w:r>
          <w:r>
            <w:rPr>
              <w:rFonts w:hint="eastAsia" w:ascii="宋体" w:hAnsi="宋体" w:eastAsia="宋体" w:cs="宋体"/>
              <w:szCs w:val="24"/>
            </w:rPr>
            <w:fldChar w:fldCharType="end"/>
          </w:r>
        </w:p>
        <w:p w14:paraId="42F0B1B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_Toc21356 </w:instrText>
          </w:r>
          <w:r>
            <w:rPr>
              <w:rFonts w:hint="eastAsia" w:ascii="宋体" w:hAnsi="宋体" w:eastAsia="宋体" w:cs="宋体"/>
              <w:szCs w:val="24"/>
            </w:rPr>
            <w:fldChar w:fldCharType="separate"/>
          </w:r>
          <w:r>
            <w:rPr>
              <w:rFonts w:hint="default"/>
              <w:lang w:val="en-US" w:eastAsia="zh-CN"/>
            </w:rPr>
            <w:t xml:space="preserve">2.1.2. </w:t>
          </w:r>
          <w:r>
            <w:rPr>
              <w:rFonts w:hint="eastAsia"/>
              <w:lang w:val="en-US" w:eastAsia="zh-CN"/>
            </w:rPr>
            <w:t>人员招聘管理计划</w:t>
          </w:r>
          <w:r>
            <w:tab/>
          </w:r>
          <w:r>
            <w:fldChar w:fldCharType="begin"/>
          </w:r>
          <w:r>
            <w:instrText xml:space="preserve"> PAGEREF _Toc21356 \h </w:instrText>
          </w:r>
          <w:r>
            <w:fldChar w:fldCharType="separate"/>
          </w:r>
          <w:r>
            <w:t>8</w:t>
          </w:r>
          <w:r>
            <w:fldChar w:fldCharType="end"/>
          </w:r>
          <w:r>
            <w:rPr>
              <w:rFonts w:hint="eastAsia" w:ascii="宋体" w:hAnsi="宋体" w:eastAsia="宋体" w:cs="宋体"/>
              <w:szCs w:val="24"/>
            </w:rPr>
            <w:fldChar w:fldCharType="end"/>
          </w:r>
        </w:p>
        <w:p w14:paraId="07A8F39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_Toc23568 </w:instrText>
          </w:r>
          <w:r>
            <w:rPr>
              <w:rFonts w:hint="eastAsia" w:ascii="宋体" w:hAnsi="宋体" w:eastAsia="宋体" w:cs="宋体"/>
              <w:szCs w:val="24"/>
            </w:rPr>
            <w:fldChar w:fldCharType="separate"/>
          </w:r>
          <w:r>
            <w:rPr>
              <w:rFonts w:hint="default"/>
              <w:lang w:val="en-US" w:eastAsia="zh-CN"/>
            </w:rPr>
            <w:t xml:space="preserve">2.1.3. </w:t>
          </w:r>
          <w:r>
            <w:rPr>
              <w:rFonts w:hint="eastAsia"/>
              <w:lang w:val="en-US" w:eastAsia="zh-CN"/>
            </w:rPr>
            <w:t>人员备份管理计划</w:t>
          </w:r>
          <w:r>
            <w:tab/>
          </w:r>
          <w:r>
            <w:fldChar w:fldCharType="begin"/>
          </w:r>
          <w:r>
            <w:instrText xml:space="preserve"> PAGEREF _Toc23568 \h </w:instrText>
          </w:r>
          <w:r>
            <w:fldChar w:fldCharType="separate"/>
          </w:r>
          <w:r>
            <w:t>8</w:t>
          </w:r>
          <w:r>
            <w:fldChar w:fldCharType="end"/>
          </w:r>
          <w:r>
            <w:rPr>
              <w:rFonts w:hint="eastAsia" w:ascii="宋体" w:hAnsi="宋体" w:eastAsia="宋体" w:cs="宋体"/>
              <w:szCs w:val="24"/>
            </w:rPr>
            <w:fldChar w:fldCharType="end"/>
          </w:r>
        </w:p>
        <w:p w14:paraId="7A39DEE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_Toc27741 </w:instrText>
          </w:r>
          <w:r>
            <w:rPr>
              <w:rFonts w:hint="eastAsia" w:ascii="宋体" w:hAnsi="宋体" w:eastAsia="宋体" w:cs="宋体"/>
              <w:szCs w:val="24"/>
            </w:rPr>
            <w:fldChar w:fldCharType="separate"/>
          </w:r>
          <w:r>
            <w:rPr>
              <w:rFonts w:hint="default"/>
              <w:lang w:val="en-US" w:eastAsia="zh-CN"/>
            </w:rPr>
            <w:t xml:space="preserve">2.1.4. </w:t>
          </w:r>
          <w:r>
            <w:rPr>
              <w:rFonts w:hint="eastAsia"/>
              <w:lang w:val="en-US" w:eastAsia="zh-CN"/>
            </w:rPr>
            <w:t>人员培训管理计划</w:t>
          </w:r>
          <w:r>
            <w:tab/>
          </w:r>
          <w:r>
            <w:fldChar w:fldCharType="begin"/>
          </w:r>
          <w:r>
            <w:instrText xml:space="preserve"> PAGEREF _Toc27741 \h </w:instrText>
          </w:r>
          <w:r>
            <w:fldChar w:fldCharType="separate"/>
          </w:r>
          <w:r>
            <w:t>8</w:t>
          </w:r>
          <w:r>
            <w:fldChar w:fldCharType="end"/>
          </w:r>
          <w:r>
            <w:rPr>
              <w:rFonts w:hint="eastAsia" w:ascii="宋体" w:hAnsi="宋体" w:eastAsia="宋体" w:cs="宋体"/>
              <w:szCs w:val="24"/>
            </w:rPr>
            <w:fldChar w:fldCharType="end"/>
          </w:r>
        </w:p>
        <w:p w14:paraId="2C932BD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_Toc5373 </w:instrText>
          </w:r>
          <w:r>
            <w:rPr>
              <w:rFonts w:hint="eastAsia" w:ascii="宋体" w:hAnsi="宋体" w:eastAsia="宋体" w:cs="宋体"/>
              <w:szCs w:val="24"/>
            </w:rPr>
            <w:fldChar w:fldCharType="separate"/>
          </w:r>
          <w:r>
            <w:rPr>
              <w:rFonts w:hint="default"/>
              <w:lang w:val="en-US" w:eastAsia="zh-CN"/>
            </w:rPr>
            <w:t xml:space="preserve">2.1.5. </w:t>
          </w:r>
          <w:r>
            <w:rPr>
              <w:rFonts w:hint="eastAsia"/>
              <w:lang w:val="en-US" w:eastAsia="zh-CN"/>
            </w:rPr>
            <w:t>人员绩效考核管理计划</w:t>
          </w:r>
          <w:r>
            <w:tab/>
          </w:r>
          <w:r>
            <w:fldChar w:fldCharType="begin"/>
          </w:r>
          <w:r>
            <w:instrText xml:space="preserve"> PAGEREF _Toc5373 \h </w:instrText>
          </w:r>
          <w:r>
            <w:fldChar w:fldCharType="separate"/>
          </w:r>
          <w:r>
            <w:t>9</w:t>
          </w:r>
          <w:r>
            <w:fldChar w:fldCharType="end"/>
          </w:r>
          <w:r>
            <w:rPr>
              <w:rFonts w:hint="eastAsia" w:ascii="宋体" w:hAnsi="宋体" w:eastAsia="宋体" w:cs="宋体"/>
              <w:szCs w:val="24"/>
            </w:rPr>
            <w:fldChar w:fldCharType="end"/>
          </w:r>
        </w:p>
        <w:p w14:paraId="0BBAB7A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_Toc17912 </w:instrText>
          </w:r>
          <w:r>
            <w:rPr>
              <w:rFonts w:hint="eastAsia" w:ascii="宋体" w:hAnsi="宋体" w:eastAsia="宋体" w:cs="宋体"/>
              <w:szCs w:val="24"/>
            </w:rPr>
            <w:fldChar w:fldCharType="separate"/>
          </w:r>
          <w:r>
            <w:rPr>
              <w:rFonts w:hint="default"/>
              <w:lang w:val="en-US" w:eastAsia="zh-CN"/>
            </w:rPr>
            <w:t xml:space="preserve">2.1.6. </w:t>
          </w:r>
          <w:r>
            <w:rPr>
              <w:rFonts w:hint="eastAsia"/>
              <w:lang w:val="en-US" w:eastAsia="zh-CN"/>
            </w:rPr>
            <w:t>人员技能评定管理计划</w:t>
          </w:r>
          <w:r>
            <w:tab/>
          </w:r>
          <w:r>
            <w:fldChar w:fldCharType="begin"/>
          </w:r>
          <w:r>
            <w:instrText xml:space="preserve"> PAGEREF _Toc17912 \h </w:instrText>
          </w:r>
          <w:r>
            <w:fldChar w:fldCharType="separate"/>
          </w:r>
          <w:r>
            <w:t>9</w:t>
          </w:r>
          <w:r>
            <w:fldChar w:fldCharType="end"/>
          </w:r>
          <w:r>
            <w:rPr>
              <w:rFonts w:hint="eastAsia" w:ascii="宋体" w:hAnsi="宋体" w:eastAsia="宋体" w:cs="宋体"/>
              <w:szCs w:val="24"/>
            </w:rPr>
            <w:fldChar w:fldCharType="end"/>
          </w:r>
        </w:p>
        <w:p w14:paraId="2E18EDE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_Toc19494 </w:instrText>
          </w:r>
          <w:r>
            <w:rPr>
              <w:rFonts w:hint="eastAsia" w:ascii="宋体" w:hAnsi="宋体" w:eastAsia="宋体" w:cs="宋体"/>
              <w:szCs w:val="24"/>
            </w:rPr>
            <w:fldChar w:fldCharType="separate"/>
          </w:r>
          <w:r>
            <w:rPr>
              <w:rFonts w:hint="default"/>
              <w:lang w:val="en-US" w:eastAsia="zh-CN"/>
            </w:rPr>
            <w:t xml:space="preserve">2.2. </w:t>
          </w:r>
          <w:r>
            <w:rPr>
              <w:rFonts w:hint="eastAsia"/>
              <w:lang w:val="en-US" w:eastAsia="zh-CN"/>
            </w:rPr>
            <w:t>资源管理计划</w:t>
          </w:r>
          <w:r>
            <w:tab/>
          </w:r>
          <w:r>
            <w:fldChar w:fldCharType="begin"/>
          </w:r>
          <w:r>
            <w:instrText xml:space="preserve"> PAGEREF _Toc19494 \h </w:instrText>
          </w:r>
          <w:r>
            <w:fldChar w:fldCharType="separate"/>
          </w:r>
          <w:r>
            <w:t>10</w:t>
          </w:r>
          <w:r>
            <w:fldChar w:fldCharType="end"/>
          </w:r>
          <w:r>
            <w:rPr>
              <w:rFonts w:hint="eastAsia" w:ascii="宋体" w:hAnsi="宋体" w:eastAsia="宋体" w:cs="宋体"/>
              <w:szCs w:val="24"/>
            </w:rPr>
            <w:fldChar w:fldCharType="end"/>
          </w:r>
        </w:p>
        <w:p w14:paraId="25B2361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_Toc24877 </w:instrText>
          </w:r>
          <w:r>
            <w:rPr>
              <w:rFonts w:hint="eastAsia" w:ascii="宋体" w:hAnsi="宋体" w:eastAsia="宋体" w:cs="宋体"/>
              <w:szCs w:val="24"/>
            </w:rPr>
            <w:fldChar w:fldCharType="separate"/>
          </w:r>
          <w:r>
            <w:rPr>
              <w:rFonts w:hint="default"/>
              <w:lang w:val="en-US" w:eastAsia="zh-CN"/>
            </w:rPr>
            <w:t xml:space="preserve">2.2.1. </w:t>
          </w:r>
          <w:r>
            <w:rPr>
              <w:rFonts w:hint="eastAsia"/>
              <w:lang w:val="en-US" w:eastAsia="zh-CN"/>
            </w:rPr>
            <w:t>运维工具管理计划</w:t>
          </w:r>
          <w:r>
            <w:tab/>
          </w:r>
          <w:r>
            <w:fldChar w:fldCharType="begin"/>
          </w:r>
          <w:r>
            <w:instrText xml:space="preserve"> PAGEREF _Toc24877 \h </w:instrText>
          </w:r>
          <w:r>
            <w:fldChar w:fldCharType="separate"/>
          </w:r>
          <w:r>
            <w:t>10</w:t>
          </w:r>
          <w:r>
            <w:fldChar w:fldCharType="end"/>
          </w:r>
          <w:r>
            <w:rPr>
              <w:rFonts w:hint="eastAsia" w:ascii="宋体" w:hAnsi="宋体" w:eastAsia="宋体" w:cs="宋体"/>
              <w:szCs w:val="24"/>
            </w:rPr>
            <w:fldChar w:fldCharType="end"/>
          </w:r>
        </w:p>
        <w:p w14:paraId="7DE1BE3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_Toc4760 </w:instrText>
          </w:r>
          <w:r>
            <w:rPr>
              <w:rFonts w:hint="eastAsia" w:ascii="宋体" w:hAnsi="宋体" w:eastAsia="宋体" w:cs="宋体"/>
              <w:szCs w:val="24"/>
            </w:rPr>
            <w:fldChar w:fldCharType="separate"/>
          </w:r>
          <w:r>
            <w:rPr>
              <w:rFonts w:hint="default"/>
              <w:lang w:val="en-US" w:eastAsia="zh-CN"/>
            </w:rPr>
            <w:t xml:space="preserve">2.2.2. </w:t>
          </w:r>
          <w:r>
            <w:rPr>
              <w:rFonts w:hint="eastAsia"/>
              <w:lang w:val="en-US" w:eastAsia="zh-CN"/>
            </w:rPr>
            <w:t>服务台管理计划</w:t>
          </w:r>
          <w:r>
            <w:tab/>
          </w:r>
          <w:r>
            <w:fldChar w:fldCharType="begin"/>
          </w:r>
          <w:r>
            <w:instrText xml:space="preserve"> PAGEREF _Toc4760 \h </w:instrText>
          </w:r>
          <w:r>
            <w:fldChar w:fldCharType="separate"/>
          </w:r>
          <w:r>
            <w:t>10</w:t>
          </w:r>
          <w:r>
            <w:fldChar w:fldCharType="end"/>
          </w:r>
          <w:r>
            <w:rPr>
              <w:rFonts w:hint="eastAsia" w:ascii="宋体" w:hAnsi="宋体" w:eastAsia="宋体" w:cs="宋体"/>
              <w:szCs w:val="24"/>
            </w:rPr>
            <w:fldChar w:fldCharType="end"/>
          </w:r>
        </w:p>
        <w:p w14:paraId="0C4EE0E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_Toc14152 </w:instrText>
          </w:r>
          <w:r>
            <w:rPr>
              <w:rFonts w:hint="eastAsia" w:ascii="宋体" w:hAnsi="宋体" w:eastAsia="宋体" w:cs="宋体"/>
              <w:szCs w:val="24"/>
            </w:rPr>
            <w:fldChar w:fldCharType="separate"/>
          </w:r>
          <w:r>
            <w:rPr>
              <w:rFonts w:hint="default"/>
              <w:lang w:val="en-US" w:eastAsia="zh-CN"/>
            </w:rPr>
            <w:t xml:space="preserve">2.2.3. </w:t>
          </w:r>
          <w:r>
            <w:rPr>
              <w:rFonts w:hint="eastAsia"/>
              <w:lang w:val="en-US" w:eastAsia="zh-CN"/>
            </w:rPr>
            <w:t>服务知识管理计划</w:t>
          </w:r>
          <w:r>
            <w:tab/>
          </w:r>
          <w:r>
            <w:fldChar w:fldCharType="begin"/>
          </w:r>
          <w:r>
            <w:instrText xml:space="preserve"> PAGEREF _Toc14152 \h </w:instrText>
          </w:r>
          <w:r>
            <w:fldChar w:fldCharType="separate"/>
          </w:r>
          <w:r>
            <w:t>10</w:t>
          </w:r>
          <w:r>
            <w:fldChar w:fldCharType="end"/>
          </w:r>
          <w:r>
            <w:rPr>
              <w:rFonts w:hint="eastAsia" w:ascii="宋体" w:hAnsi="宋体" w:eastAsia="宋体" w:cs="宋体"/>
              <w:szCs w:val="24"/>
            </w:rPr>
            <w:fldChar w:fldCharType="end"/>
          </w:r>
        </w:p>
        <w:p w14:paraId="6CF1039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_Toc16150 </w:instrText>
          </w:r>
          <w:r>
            <w:rPr>
              <w:rFonts w:hint="eastAsia" w:ascii="宋体" w:hAnsi="宋体" w:eastAsia="宋体" w:cs="宋体"/>
              <w:szCs w:val="24"/>
            </w:rPr>
            <w:fldChar w:fldCharType="separate"/>
          </w:r>
          <w:r>
            <w:rPr>
              <w:rFonts w:hint="default"/>
              <w:lang w:val="en-US" w:eastAsia="zh-CN"/>
            </w:rPr>
            <w:t xml:space="preserve">2.2.4. </w:t>
          </w:r>
          <w:r>
            <w:rPr>
              <w:rFonts w:hint="eastAsia"/>
              <w:lang w:val="en-US" w:eastAsia="zh-CN"/>
            </w:rPr>
            <w:t>最终软件库管理计划</w:t>
          </w:r>
          <w:r>
            <w:tab/>
          </w:r>
          <w:r>
            <w:fldChar w:fldCharType="begin"/>
          </w:r>
          <w:r>
            <w:instrText xml:space="preserve"> PAGEREF _Toc16150 \h </w:instrText>
          </w:r>
          <w:r>
            <w:fldChar w:fldCharType="separate"/>
          </w:r>
          <w:r>
            <w:t>11</w:t>
          </w:r>
          <w:r>
            <w:fldChar w:fldCharType="end"/>
          </w:r>
          <w:r>
            <w:rPr>
              <w:rFonts w:hint="eastAsia" w:ascii="宋体" w:hAnsi="宋体" w:eastAsia="宋体" w:cs="宋体"/>
              <w:szCs w:val="24"/>
            </w:rPr>
            <w:fldChar w:fldCharType="end"/>
          </w:r>
        </w:p>
        <w:p w14:paraId="3FE278C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_Toc9214 </w:instrText>
          </w:r>
          <w:r>
            <w:rPr>
              <w:rFonts w:hint="eastAsia" w:ascii="宋体" w:hAnsi="宋体" w:eastAsia="宋体" w:cs="宋体"/>
              <w:szCs w:val="24"/>
            </w:rPr>
            <w:fldChar w:fldCharType="separate"/>
          </w:r>
          <w:r>
            <w:rPr>
              <w:rFonts w:hint="default"/>
              <w:lang w:val="en-US" w:eastAsia="zh-CN"/>
            </w:rPr>
            <w:t xml:space="preserve">2.2.5. </w:t>
          </w:r>
          <w:r>
            <w:rPr>
              <w:rFonts w:hint="eastAsia"/>
              <w:lang w:val="en-US" w:eastAsia="zh-CN"/>
            </w:rPr>
            <w:t>服务数据管理计划</w:t>
          </w:r>
          <w:r>
            <w:tab/>
          </w:r>
          <w:r>
            <w:fldChar w:fldCharType="begin"/>
          </w:r>
          <w:r>
            <w:instrText xml:space="preserve"> PAGEREF _Toc9214 \h </w:instrText>
          </w:r>
          <w:r>
            <w:fldChar w:fldCharType="separate"/>
          </w:r>
          <w:r>
            <w:t>11</w:t>
          </w:r>
          <w:r>
            <w:fldChar w:fldCharType="end"/>
          </w:r>
          <w:r>
            <w:rPr>
              <w:rFonts w:hint="eastAsia" w:ascii="宋体" w:hAnsi="宋体" w:eastAsia="宋体" w:cs="宋体"/>
              <w:szCs w:val="24"/>
            </w:rPr>
            <w:fldChar w:fldCharType="end"/>
          </w:r>
        </w:p>
        <w:p w14:paraId="30BDF31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_Toc9850 </w:instrText>
          </w:r>
          <w:r>
            <w:rPr>
              <w:rFonts w:hint="eastAsia" w:ascii="宋体" w:hAnsi="宋体" w:eastAsia="宋体" w:cs="宋体"/>
              <w:szCs w:val="24"/>
            </w:rPr>
            <w:fldChar w:fldCharType="separate"/>
          </w:r>
          <w:r>
            <w:rPr>
              <w:rFonts w:hint="default"/>
              <w:lang w:val="en-US" w:eastAsia="zh-CN"/>
            </w:rPr>
            <w:t xml:space="preserve">2.3. </w:t>
          </w:r>
          <w:r>
            <w:rPr>
              <w:rFonts w:hint="eastAsia"/>
              <w:lang w:val="en-US" w:eastAsia="zh-CN"/>
            </w:rPr>
            <w:t>技术管理计划</w:t>
          </w:r>
          <w:r>
            <w:tab/>
          </w:r>
          <w:r>
            <w:fldChar w:fldCharType="begin"/>
          </w:r>
          <w:r>
            <w:instrText xml:space="preserve"> PAGEREF _Toc9850 \h </w:instrText>
          </w:r>
          <w:r>
            <w:fldChar w:fldCharType="separate"/>
          </w:r>
          <w:r>
            <w:t>11</w:t>
          </w:r>
          <w:r>
            <w:fldChar w:fldCharType="end"/>
          </w:r>
          <w:r>
            <w:rPr>
              <w:rFonts w:hint="eastAsia" w:ascii="宋体" w:hAnsi="宋体" w:eastAsia="宋体" w:cs="宋体"/>
              <w:szCs w:val="24"/>
            </w:rPr>
            <w:fldChar w:fldCharType="end"/>
          </w:r>
        </w:p>
        <w:p w14:paraId="0EDE1B4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_Toc22744 </w:instrText>
          </w:r>
          <w:r>
            <w:rPr>
              <w:rFonts w:hint="eastAsia" w:ascii="宋体" w:hAnsi="宋体" w:eastAsia="宋体" w:cs="宋体"/>
              <w:szCs w:val="24"/>
            </w:rPr>
            <w:fldChar w:fldCharType="separate"/>
          </w:r>
          <w:r>
            <w:rPr>
              <w:rFonts w:hint="default"/>
              <w:lang w:val="en-US" w:eastAsia="zh-CN"/>
            </w:rPr>
            <w:t xml:space="preserve">2.3.1. </w:t>
          </w:r>
          <w:r>
            <w:rPr>
              <w:rFonts w:hint="eastAsia"/>
              <w:lang w:val="en-US" w:eastAsia="zh-CN"/>
            </w:rPr>
            <w:t>运维工具二次开发</w:t>
          </w:r>
          <w:r>
            <w:tab/>
          </w:r>
          <w:r>
            <w:fldChar w:fldCharType="begin"/>
          </w:r>
          <w:r>
            <w:instrText xml:space="preserve"> PAGEREF _Toc22744 \h </w:instrText>
          </w:r>
          <w:r>
            <w:fldChar w:fldCharType="separate"/>
          </w:r>
          <w:r>
            <w:t>12</w:t>
          </w:r>
          <w:r>
            <w:fldChar w:fldCharType="end"/>
          </w:r>
          <w:r>
            <w:rPr>
              <w:rFonts w:hint="eastAsia" w:ascii="宋体" w:hAnsi="宋体" w:eastAsia="宋体" w:cs="宋体"/>
              <w:szCs w:val="24"/>
            </w:rPr>
            <w:fldChar w:fldCharType="end"/>
          </w:r>
        </w:p>
        <w:p w14:paraId="7D0A76C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_Toc27640 </w:instrText>
          </w:r>
          <w:r>
            <w:rPr>
              <w:rFonts w:hint="eastAsia" w:ascii="宋体" w:hAnsi="宋体" w:eastAsia="宋体" w:cs="宋体"/>
              <w:szCs w:val="24"/>
            </w:rPr>
            <w:fldChar w:fldCharType="separate"/>
          </w:r>
          <w:r>
            <w:rPr>
              <w:rFonts w:hint="default"/>
              <w:lang w:val="en-US" w:eastAsia="zh-CN"/>
            </w:rPr>
            <w:t xml:space="preserve">2.3.2. </w:t>
          </w:r>
          <w:r>
            <w:rPr>
              <w:rFonts w:hint="eastAsia"/>
              <w:lang w:val="en-US" w:eastAsia="zh-CN"/>
            </w:rPr>
            <w:t>运维手册研发</w:t>
          </w:r>
          <w:r>
            <w:tab/>
          </w:r>
          <w:r>
            <w:fldChar w:fldCharType="begin"/>
          </w:r>
          <w:r>
            <w:instrText xml:space="preserve"> PAGEREF _Toc27640 \h </w:instrText>
          </w:r>
          <w:r>
            <w:fldChar w:fldCharType="separate"/>
          </w:r>
          <w:r>
            <w:t>12</w:t>
          </w:r>
          <w:r>
            <w:fldChar w:fldCharType="end"/>
          </w:r>
          <w:r>
            <w:rPr>
              <w:rFonts w:hint="eastAsia" w:ascii="宋体" w:hAnsi="宋体" w:eastAsia="宋体" w:cs="宋体"/>
              <w:szCs w:val="24"/>
            </w:rPr>
            <w:fldChar w:fldCharType="end"/>
          </w:r>
        </w:p>
        <w:p w14:paraId="57E82EF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_Toc27868 </w:instrText>
          </w:r>
          <w:r>
            <w:rPr>
              <w:rFonts w:hint="eastAsia" w:ascii="宋体" w:hAnsi="宋体" w:eastAsia="宋体" w:cs="宋体"/>
              <w:szCs w:val="24"/>
            </w:rPr>
            <w:fldChar w:fldCharType="separate"/>
          </w:r>
          <w:r>
            <w:rPr>
              <w:rFonts w:hint="default"/>
              <w:lang w:val="en-US" w:eastAsia="zh-CN"/>
            </w:rPr>
            <w:t xml:space="preserve">2.3.3. </w:t>
          </w:r>
          <w:r>
            <w:rPr>
              <w:rFonts w:hint="eastAsia"/>
              <w:lang w:val="en-US" w:eastAsia="zh-CN"/>
            </w:rPr>
            <w:t>研发团队构成</w:t>
          </w:r>
          <w:r>
            <w:tab/>
          </w:r>
          <w:r>
            <w:fldChar w:fldCharType="begin"/>
          </w:r>
          <w:r>
            <w:instrText xml:space="preserve"> PAGEREF _Toc27868 \h </w:instrText>
          </w:r>
          <w:r>
            <w:fldChar w:fldCharType="separate"/>
          </w:r>
          <w:r>
            <w:t>13</w:t>
          </w:r>
          <w:r>
            <w:fldChar w:fldCharType="end"/>
          </w:r>
          <w:r>
            <w:rPr>
              <w:rFonts w:hint="eastAsia" w:ascii="宋体" w:hAnsi="宋体" w:eastAsia="宋体" w:cs="宋体"/>
              <w:szCs w:val="24"/>
            </w:rPr>
            <w:fldChar w:fldCharType="end"/>
          </w:r>
        </w:p>
        <w:p w14:paraId="6DF6816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_Toc20629 </w:instrText>
          </w:r>
          <w:r>
            <w:rPr>
              <w:rFonts w:hint="eastAsia" w:ascii="宋体" w:hAnsi="宋体" w:eastAsia="宋体" w:cs="宋体"/>
              <w:szCs w:val="24"/>
            </w:rPr>
            <w:fldChar w:fldCharType="separate"/>
          </w:r>
          <w:r>
            <w:rPr>
              <w:rFonts w:hint="default"/>
              <w:lang w:val="en-US" w:eastAsia="zh-CN"/>
            </w:rPr>
            <w:t xml:space="preserve">2.3.4. </w:t>
          </w:r>
          <w:r>
            <w:rPr>
              <w:rFonts w:hint="eastAsia"/>
              <w:lang w:val="en-US" w:eastAsia="zh-CN"/>
            </w:rPr>
            <w:t>新技术研发</w:t>
          </w:r>
          <w:r>
            <w:tab/>
          </w:r>
          <w:r>
            <w:fldChar w:fldCharType="begin"/>
          </w:r>
          <w:r>
            <w:instrText xml:space="preserve"> PAGEREF _Toc20629 \h </w:instrText>
          </w:r>
          <w:r>
            <w:fldChar w:fldCharType="separate"/>
          </w:r>
          <w:r>
            <w:t>13</w:t>
          </w:r>
          <w:r>
            <w:fldChar w:fldCharType="end"/>
          </w:r>
          <w:r>
            <w:rPr>
              <w:rFonts w:hint="eastAsia" w:ascii="宋体" w:hAnsi="宋体" w:eastAsia="宋体" w:cs="宋体"/>
              <w:szCs w:val="24"/>
            </w:rPr>
            <w:fldChar w:fldCharType="end"/>
          </w:r>
        </w:p>
        <w:p w14:paraId="752C785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_Toc29355 </w:instrText>
          </w:r>
          <w:r>
            <w:rPr>
              <w:rFonts w:hint="eastAsia" w:ascii="宋体" w:hAnsi="宋体" w:eastAsia="宋体" w:cs="宋体"/>
              <w:szCs w:val="24"/>
            </w:rPr>
            <w:fldChar w:fldCharType="separate"/>
          </w:r>
          <w:r>
            <w:rPr>
              <w:rFonts w:hint="default"/>
              <w:lang w:val="en-US" w:eastAsia="zh-CN"/>
            </w:rPr>
            <w:t xml:space="preserve">2.3.5. </w:t>
          </w:r>
          <w:r>
            <w:rPr>
              <w:rFonts w:hint="eastAsia"/>
              <w:lang w:val="en-US" w:eastAsia="zh-CN"/>
            </w:rPr>
            <w:t>运维经费投入</w:t>
          </w:r>
          <w:r>
            <w:tab/>
          </w:r>
          <w:r>
            <w:fldChar w:fldCharType="begin"/>
          </w:r>
          <w:r>
            <w:instrText xml:space="preserve"> PAGEREF _Toc29355 \h </w:instrText>
          </w:r>
          <w:r>
            <w:fldChar w:fldCharType="separate"/>
          </w:r>
          <w:r>
            <w:t>13</w:t>
          </w:r>
          <w:r>
            <w:fldChar w:fldCharType="end"/>
          </w:r>
          <w:r>
            <w:rPr>
              <w:rFonts w:hint="eastAsia" w:ascii="宋体" w:hAnsi="宋体" w:eastAsia="宋体" w:cs="宋体"/>
              <w:szCs w:val="24"/>
            </w:rPr>
            <w:fldChar w:fldCharType="end"/>
          </w:r>
        </w:p>
        <w:p w14:paraId="2DD53A9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_Toc25433 </w:instrText>
          </w:r>
          <w:r>
            <w:rPr>
              <w:rFonts w:hint="eastAsia" w:ascii="宋体" w:hAnsi="宋体" w:eastAsia="宋体" w:cs="宋体"/>
              <w:szCs w:val="24"/>
            </w:rPr>
            <w:fldChar w:fldCharType="separate"/>
          </w:r>
          <w:r>
            <w:rPr>
              <w:rFonts w:hint="default"/>
              <w:lang w:val="en-US" w:eastAsia="zh-CN"/>
            </w:rPr>
            <w:t xml:space="preserve">2.4. </w:t>
          </w:r>
          <w:r>
            <w:rPr>
              <w:rFonts w:hint="eastAsia"/>
              <w:lang w:val="en-US" w:eastAsia="zh-CN"/>
            </w:rPr>
            <w:t>过程管理计划</w:t>
          </w:r>
          <w:r>
            <w:tab/>
          </w:r>
          <w:r>
            <w:fldChar w:fldCharType="begin"/>
          </w:r>
          <w:r>
            <w:instrText xml:space="preserve"> PAGEREF _Toc25433 \h </w:instrText>
          </w:r>
          <w:r>
            <w:fldChar w:fldCharType="separate"/>
          </w:r>
          <w:r>
            <w:t>14</w:t>
          </w:r>
          <w:r>
            <w:fldChar w:fldCharType="end"/>
          </w:r>
          <w:r>
            <w:rPr>
              <w:rFonts w:hint="eastAsia" w:ascii="宋体" w:hAnsi="宋体" w:eastAsia="宋体" w:cs="宋体"/>
              <w:szCs w:val="24"/>
            </w:rPr>
            <w:fldChar w:fldCharType="end"/>
          </w:r>
        </w:p>
        <w:p w14:paraId="7C03E8E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_Toc4207 </w:instrText>
          </w:r>
          <w:r>
            <w:rPr>
              <w:rFonts w:hint="eastAsia" w:ascii="宋体" w:hAnsi="宋体" w:eastAsia="宋体" w:cs="宋体"/>
              <w:szCs w:val="24"/>
            </w:rPr>
            <w:fldChar w:fldCharType="separate"/>
          </w:r>
          <w:r>
            <w:rPr>
              <w:rFonts w:hint="default"/>
              <w:lang w:val="en-US" w:eastAsia="zh-CN"/>
            </w:rPr>
            <w:t xml:space="preserve">2.4.1. </w:t>
          </w:r>
          <w:r>
            <w:rPr>
              <w:rFonts w:hint="eastAsia"/>
              <w:lang w:val="en-US" w:eastAsia="zh-CN"/>
            </w:rPr>
            <w:t>过程框架管理计划</w:t>
          </w:r>
          <w:r>
            <w:tab/>
          </w:r>
          <w:r>
            <w:fldChar w:fldCharType="begin"/>
          </w:r>
          <w:r>
            <w:instrText xml:space="preserve"> PAGEREF _Toc4207 \h </w:instrText>
          </w:r>
          <w:r>
            <w:fldChar w:fldCharType="separate"/>
          </w:r>
          <w:r>
            <w:t>14</w:t>
          </w:r>
          <w:r>
            <w:fldChar w:fldCharType="end"/>
          </w:r>
          <w:r>
            <w:rPr>
              <w:rFonts w:hint="eastAsia" w:ascii="宋体" w:hAnsi="宋体" w:eastAsia="宋体" w:cs="宋体"/>
              <w:szCs w:val="24"/>
            </w:rPr>
            <w:fldChar w:fldCharType="end"/>
          </w:r>
        </w:p>
        <w:p w14:paraId="63E9651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_Toc16383 </w:instrText>
          </w:r>
          <w:r>
            <w:rPr>
              <w:rFonts w:hint="eastAsia" w:ascii="宋体" w:hAnsi="宋体" w:eastAsia="宋体" w:cs="宋体"/>
              <w:szCs w:val="24"/>
            </w:rPr>
            <w:fldChar w:fldCharType="separate"/>
          </w:r>
          <w:r>
            <w:rPr>
              <w:rFonts w:hint="default"/>
              <w:lang w:val="en-US" w:eastAsia="zh-CN"/>
            </w:rPr>
            <w:t xml:space="preserve">2.4.2. </w:t>
          </w:r>
          <w:r>
            <w:rPr>
              <w:rFonts w:hint="eastAsia"/>
              <w:lang w:val="en-US" w:eastAsia="zh-CN"/>
            </w:rPr>
            <w:t>服务级别管理计划</w:t>
          </w:r>
          <w:r>
            <w:tab/>
          </w:r>
          <w:r>
            <w:fldChar w:fldCharType="begin"/>
          </w:r>
          <w:r>
            <w:instrText xml:space="preserve"> PAGEREF _Toc16383 \h </w:instrText>
          </w:r>
          <w:r>
            <w:fldChar w:fldCharType="separate"/>
          </w:r>
          <w:r>
            <w:t>14</w:t>
          </w:r>
          <w:r>
            <w:fldChar w:fldCharType="end"/>
          </w:r>
          <w:r>
            <w:rPr>
              <w:rFonts w:hint="eastAsia" w:ascii="宋体" w:hAnsi="宋体" w:eastAsia="宋体" w:cs="宋体"/>
              <w:szCs w:val="24"/>
            </w:rPr>
            <w:fldChar w:fldCharType="end"/>
          </w:r>
        </w:p>
        <w:p w14:paraId="72F91BA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_Toc12360 </w:instrText>
          </w:r>
          <w:r>
            <w:rPr>
              <w:rFonts w:hint="eastAsia" w:ascii="宋体" w:hAnsi="宋体" w:eastAsia="宋体" w:cs="宋体"/>
              <w:szCs w:val="24"/>
            </w:rPr>
            <w:fldChar w:fldCharType="separate"/>
          </w:r>
          <w:r>
            <w:rPr>
              <w:rFonts w:hint="default"/>
              <w:lang w:val="en-US" w:eastAsia="zh-CN"/>
            </w:rPr>
            <w:t xml:space="preserve">2.4.3. </w:t>
          </w:r>
          <w:r>
            <w:rPr>
              <w:rFonts w:hint="eastAsia"/>
              <w:lang w:val="en-US" w:eastAsia="zh-CN"/>
            </w:rPr>
            <w:t>服务报告管理计划</w:t>
          </w:r>
          <w:r>
            <w:tab/>
          </w:r>
          <w:r>
            <w:fldChar w:fldCharType="begin"/>
          </w:r>
          <w:r>
            <w:instrText xml:space="preserve"> PAGEREF _Toc12360 \h </w:instrText>
          </w:r>
          <w:r>
            <w:fldChar w:fldCharType="separate"/>
          </w:r>
          <w:r>
            <w:t>14</w:t>
          </w:r>
          <w:r>
            <w:fldChar w:fldCharType="end"/>
          </w:r>
          <w:r>
            <w:rPr>
              <w:rFonts w:hint="eastAsia" w:ascii="宋体" w:hAnsi="宋体" w:eastAsia="宋体" w:cs="宋体"/>
              <w:szCs w:val="24"/>
            </w:rPr>
            <w:fldChar w:fldCharType="end"/>
          </w:r>
        </w:p>
        <w:p w14:paraId="4E88E8D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_Toc14384 </w:instrText>
          </w:r>
          <w:r>
            <w:rPr>
              <w:rFonts w:hint="eastAsia" w:ascii="宋体" w:hAnsi="宋体" w:eastAsia="宋体" w:cs="宋体"/>
              <w:szCs w:val="24"/>
            </w:rPr>
            <w:fldChar w:fldCharType="separate"/>
          </w:r>
          <w:r>
            <w:rPr>
              <w:rFonts w:hint="default"/>
              <w:lang w:val="en-US" w:eastAsia="zh-CN"/>
            </w:rPr>
            <w:t xml:space="preserve">2.4.4. </w:t>
          </w:r>
          <w:r>
            <w:rPr>
              <w:rFonts w:hint="eastAsia"/>
              <w:lang w:val="en-US" w:eastAsia="zh-CN"/>
            </w:rPr>
            <w:t>事件管理计划</w:t>
          </w:r>
          <w:r>
            <w:tab/>
          </w:r>
          <w:r>
            <w:fldChar w:fldCharType="begin"/>
          </w:r>
          <w:r>
            <w:instrText xml:space="preserve"> PAGEREF _Toc14384 \h </w:instrText>
          </w:r>
          <w:r>
            <w:fldChar w:fldCharType="separate"/>
          </w:r>
          <w:r>
            <w:t>15</w:t>
          </w:r>
          <w:r>
            <w:fldChar w:fldCharType="end"/>
          </w:r>
          <w:r>
            <w:rPr>
              <w:rFonts w:hint="eastAsia" w:ascii="宋体" w:hAnsi="宋体" w:eastAsia="宋体" w:cs="宋体"/>
              <w:szCs w:val="24"/>
            </w:rPr>
            <w:fldChar w:fldCharType="end"/>
          </w:r>
        </w:p>
        <w:p w14:paraId="1D396BE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_Toc21791 </w:instrText>
          </w:r>
          <w:r>
            <w:rPr>
              <w:rFonts w:hint="eastAsia" w:ascii="宋体" w:hAnsi="宋体" w:eastAsia="宋体" w:cs="宋体"/>
              <w:szCs w:val="24"/>
            </w:rPr>
            <w:fldChar w:fldCharType="separate"/>
          </w:r>
          <w:r>
            <w:rPr>
              <w:rFonts w:hint="default"/>
              <w:lang w:val="en-US" w:eastAsia="zh-CN"/>
            </w:rPr>
            <w:t xml:space="preserve">2.4.5. </w:t>
          </w:r>
          <w:r>
            <w:rPr>
              <w:rFonts w:hint="eastAsia"/>
              <w:lang w:val="en-US" w:eastAsia="zh-CN"/>
            </w:rPr>
            <w:t>问题管理计划</w:t>
          </w:r>
          <w:r>
            <w:tab/>
          </w:r>
          <w:r>
            <w:fldChar w:fldCharType="begin"/>
          </w:r>
          <w:r>
            <w:instrText xml:space="preserve"> PAGEREF _Toc21791 \h </w:instrText>
          </w:r>
          <w:r>
            <w:fldChar w:fldCharType="separate"/>
          </w:r>
          <w:r>
            <w:t>15</w:t>
          </w:r>
          <w:r>
            <w:fldChar w:fldCharType="end"/>
          </w:r>
          <w:r>
            <w:rPr>
              <w:rFonts w:hint="eastAsia" w:ascii="宋体" w:hAnsi="宋体" w:eastAsia="宋体" w:cs="宋体"/>
              <w:szCs w:val="24"/>
            </w:rPr>
            <w:fldChar w:fldCharType="end"/>
          </w:r>
        </w:p>
        <w:p w14:paraId="02B0093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_Toc25485 </w:instrText>
          </w:r>
          <w:r>
            <w:rPr>
              <w:rFonts w:hint="eastAsia" w:ascii="宋体" w:hAnsi="宋体" w:eastAsia="宋体" w:cs="宋体"/>
              <w:szCs w:val="24"/>
            </w:rPr>
            <w:fldChar w:fldCharType="separate"/>
          </w:r>
          <w:r>
            <w:rPr>
              <w:rFonts w:hint="default"/>
              <w:lang w:val="en-US" w:eastAsia="zh-CN"/>
            </w:rPr>
            <w:t xml:space="preserve">2.4.6. </w:t>
          </w:r>
          <w:r>
            <w:rPr>
              <w:rFonts w:hint="eastAsia"/>
              <w:lang w:val="en-US" w:eastAsia="zh-CN"/>
            </w:rPr>
            <w:t>变更管理计划</w:t>
          </w:r>
          <w:r>
            <w:tab/>
          </w:r>
          <w:r>
            <w:fldChar w:fldCharType="begin"/>
          </w:r>
          <w:r>
            <w:instrText xml:space="preserve"> PAGEREF _Toc25485 \h </w:instrText>
          </w:r>
          <w:r>
            <w:fldChar w:fldCharType="separate"/>
          </w:r>
          <w:r>
            <w:t>15</w:t>
          </w:r>
          <w:r>
            <w:fldChar w:fldCharType="end"/>
          </w:r>
          <w:r>
            <w:rPr>
              <w:rFonts w:hint="eastAsia" w:ascii="宋体" w:hAnsi="宋体" w:eastAsia="宋体" w:cs="宋体"/>
              <w:szCs w:val="24"/>
            </w:rPr>
            <w:fldChar w:fldCharType="end"/>
          </w:r>
        </w:p>
        <w:p w14:paraId="78040B4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_Toc16131 </w:instrText>
          </w:r>
          <w:r>
            <w:rPr>
              <w:rFonts w:hint="eastAsia" w:ascii="宋体" w:hAnsi="宋体" w:eastAsia="宋体" w:cs="宋体"/>
              <w:szCs w:val="24"/>
            </w:rPr>
            <w:fldChar w:fldCharType="separate"/>
          </w:r>
          <w:r>
            <w:rPr>
              <w:rFonts w:hint="default"/>
              <w:lang w:val="en-US" w:eastAsia="zh-CN"/>
            </w:rPr>
            <w:t xml:space="preserve">2.4.7. </w:t>
          </w:r>
          <w:r>
            <w:rPr>
              <w:rFonts w:hint="eastAsia"/>
              <w:lang w:val="en-US" w:eastAsia="zh-CN"/>
            </w:rPr>
            <w:t>发布管理计划</w:t>
          </w:r>
          <w:r>
            <w:tab/>
          </w:r>
          <w:r>
            <w:fldChar w:fldCharType="begin"/>
          </w:r>
          <w:r>
            <w:instrText xml:space="preserve"> PAGEREF _Toc16131 \h </w:instrText>
          </w:r>
          <w:r>
            <w:fldChar w:fldCharType="separate"/>
          </w:r>
          <w:r>
            <w:t>15</w:t>
          </w:r>
          <w:r>
            <w:fldChar w:fldCharType="end"/>
          </w:r>
          <w:r>
            <w:rPr>
              <w:rFonts w:hint="eastAsia" w:ascii="宋体" w:hAnsi="宋体" w:eastAsia="宋体" w:cs="宋体"/>
              <w:szCs w:val="24"/>
            </w:rPr>
            <w:fldChar w:fldCharType="end"/>
          </w:r>
        </w:p>
        <w:p w14:paraId="30BDABD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_Toc13587 </w:instrText>
          </w:r>
          <w:r>
            <w:rPr>
              <w:rFonts w:hint="eastAsia" w:ascii="宋体" w:hAnsi="宋体" w:eastAsia="宋体" w:cs="宋体"/>
              <w:szCs w:val="24"/>
            </w:rPr>
            <w:fldChar w:fldCharType="separate"/>
          </w:r>
          <w:r>
            <w:rPr>
              <w:rFonts w:hint="default"/>
              <w:lang w:val="en-US" w:eastAsia="zh-CN"/>
            </w:rPr>
            <w:t xml:space="preserve">2.4.8. </w:t>
          </w:r>
          <w:r>
            <w:rPr>
              <w:rFonts w:hint="eastAsia"/>
              <w:lang w:val="en-US" w:eastAsia="zh-CN"/>
            </w:rPr>
            <w:t>配置管理计划</w:t>
          </w:r>
          <w:r>
            <w:tab/>
          </w:r>
          <w:r>
            <w:fldChar w:fldCharType="begin"/>
          </w:r>
          <w:r>
            <w:instrText xml:space="preserve"> PAGEREF _Toc13587 \h </w:instrText>
          </w:r>
          <w:r>
            <w:fldChar w:fldCharType="separate"/>
          </w:r>
          <w:r>
            <w:t>15</w:t>
          </w:r>
          <w:r>
            <w:fldChar w:fldCharType="end"/>
          </w:r>
          <w:r>
            <w:rPr>
              <w:rFonts w:hint="eastAsia" w:ascii="宋体" w:hAnsi="宋体" w:eastAsia="宋体" w:cs="宋体"/>
              <w:szCs w:val="24"/>
            </w:rPr>
            <w:fldChar w:fldCharType="end"/>
          </w:r>
        </w:p>
        <w:p w14:paraId="1891374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_Toc9083 </w:instrText>
          </w:r>
          <w:r>
            <w:rPr>
              <w:rFonts w:hint="eastAsia" w:ascii="宋体" w:hAnsi="宋体" w:eastAsia="宋体" w:cs="宋体"/>
              <w:szCs w:val="24"/>
            </w:rPr>
            <w:fldChar w:fldCharType="separate"/>
          </w:r>
          <w:r>
            <w:rPr>
              <w:rFonts w:hint="default"/>
              <w:lang w:val="en-US" w:eastAsia="zh-CN"/>
            </w:rPr>
            <w:t xml:space="preserve">2.4.9. </w:t>
          </w:r>
          <w:r>
            <w:rPr>
              <w:rFonts w:hint="eastAsia"/>
              <w:lang w:val="en-US" w:eastAsia="zh-CN"/>
            </w:rPr>
            <w:t>服务可用性和连续性管理计划</w:t>
          </w:r>
          <w:r>
            <w:tab/>
          </w:r>
          <w:r>
            <w:fldChar w:fldCharType="begin"/>
          </w:r>
          <w:r>
            <w:instrText xml:space="preserve"> PAGEREF _Toc9083 \h </w:instrText>
          </w:r>
          <w:r>
            <w:fldChar w:fldCharType="separate"/>
          </w:r>
          <w:r>
            <w:t>16</w:t>
          </w:r>
          <w:r>
            <w:fldChar w:fldCharType="end"/>
          </w:r>
          <w:r>
            <w:rPr>
              <w:rFonts w:hint="eastAsia" w:ascii="宋体" w:hAnsi="宋体" w:eastAsia="宋体" w:cs="宋体"/>
              <w:szCs w:val="24"/>
            </w:rPr>
            <w:fldChar w:fldCharType="end"/>
          </w:r>
        </w:p>
        <w:p w14:paraId="4C4B77C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_Toc26787 </w:instrText>
          </w:r>
          <w:r>
            <w:rPr>
              <w:rFonts w:hint="eastAsia" w:ascii="宋体" w:hAnsi="宋体" w:eastAsia="宋体" w:cs="宋体"/>
              <w:szCs w:val="24"/>
            </w:rPr>
            <w:fldChar w:fldCharType="separate"/>
          </w:r>
          <w:r>
            <w:rPr>
              <w:rFonts w:hint="default"/>
              <w:lang w:val="en-US" w:eastAsia="zh-CN"/>
            </w:rPr>
            <w:t xml:space="preserve">2.4.10. </w:t>
          </w:r>
          <w:r>
            <w:rPr>
              <w:rFonts w:hint="eastAsia"/>
              <w:lang w:val="en-US" w:eastAsia="zh-CN"/>
            </w:rPr>
            <w:t>容量管理计划</w:t>
          </w:r>
          <w:r>
            <w:tab/>
          </w:r>
          <w:r>
            <w:fldChar w:fldCharType="begin"/>
          </w:r>
          <w:r>
            <w:instrText xml:space="preserve"> PAGEREF _Toc26787 \h </w:instrText>
          </w:r>
          <w:r>
            <w:fldChar w:fldCharType="separate"/>
          </w:r>
          <w:r>
            <w:t>16</w:t>
          </w:r>
          <w:r>
            <w:fldChar w:fldCharType="end"/>
          </w:r>
          <w:r>
            <w:rPr>
              <w:rFonts w:hint="eastAsia" w:ascii="宋体" w:hAnsi="宋体" w:eastAsia="宋体" w:cs="宋体"/>
              <w:szCs w:val="24"/>
            </w:rPr>
            <w:fldChar w:fldCharType="end"/>
          </w:r>
        </w:p>
        <w:p w14:paraId="118049A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_Toc8573 </w:instrText>
          </w:r>
          <w:r>
            <w:rPr>
              <w:rFonts w:hint="eastAsia" w:ascii="宋体" w:hAnsi="宋体" w:eastAsia="宋体" w:cs="宋体"/>
              <w:szCs w:val="24"/>
            </w:rPr>
            <w:fldChar w:fldCharType="separate"/>
          </w:r>
          <w:r>
            <w:rPr>
              <w:rFonts w:hint="default"/>
              <w:lang w:val="en-US" w:eastAsia="zh-CN"/>
            </w:rPr>
            <w:t xml:space="preserve">2.4.11. </w:t>
          </w:r>
          <w:r>
            <w:rPr>
              <w:rFonts w:hint="eastAsia"/>
              <w:lang w:val="en-US" w:eastAsia="zh-CN"/>
            </w:rPr>
            <w:t>信息安全管理计划</w:t>
          </w:r>
          <w:r>
            <w:tab/>
          </w:r>
          <w:r>
            <w:fldChar w:fldCharType="begin"/>
          </w:r>
          <w:r>
            <w:instrText xml:space="preserve"> PAGEREF _Toc8573 \h </w:instrText>
          </w:r>
          <w:r>
            <w:fldChar w:fldCharType="separate"/>
          </w:r>
          <w:r>
            <w:t>16</w:t>
          </w:r>
          <w:r>
            <w:fldChar w:fldCharType="end"/>
          </w:r>
          <w:r>
            <w:rPr>
              <w:rFonts w:hint="eastAsia" w:ascii="宋体" w:hAnsi="宋体" w:eastAsia="宋体" w:cs="宋体"/>
              <w:szCs w:val="24"/>
            </w:rPr>
            <w:fldChar w:fldCharType="end"/>
          </w:r>
        </w:p>
        <w:p w14:paraId="3C03B24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_Toc29099 </w:instrText>
          </w:r>
          <w:r>
            <w:rPr>
              <w:rFonts w:hint="eastAsia" w:ascii="宋体" w:hAnsi="宋体" w:eastAsia="宋体" w:cs="宋体"/>
              <w:szCs w:val="24"/>
            </w:rPr>
            <w:fldChar w:fldCharType="separate"/>
          </w:r>
          <w:r>
            <w:rPr>
              <w:rFonts w:hint="default"/>
              <w:lang w:val="en-US" w:eastAsia="zh-CN"/>
            </w:rPr>
            <w:t xml:space="preserve">2.5. </w:t>
          </w:r>
          <w:r>
            <w:rPr>
              <w:rFonts w:hint="eastAsia"/>
              <w:lang w:val="en-US" w:eastAsia="zh-CN"/>
            </w:rPr>
            <w:t>交付管理计划</w:t>
          </w:r>
          <w:r>
            <w:tab/>
          </w:r>
          <w:r>
            <w:fldChar w:fldCharType="begin"/>
          </w:r>
          <w:r>
            <w:instrText xml:space="preserve"> PAGEREF _Toc29099 \h </w:instrText>
          </w:r>
          <w:r>
            <w:fldChar w:fldCharType="separate"/>
          </w:r>
          <w:r>
            <w:t>16</w:t>
          </w:r>
          <w:r>
            <w:fldChar w:fldCharType="end"/>
          </w:r>
          <w:r>
            <w:rPr>
              <w:rFonts w:hint="eastAsia" w:ascii="宋体" w:hAnsi="宋体" w:eastAsia="宋体" w:cs="宋体"/>
              <w:szCs w:val="24"/>
            </w:rPr>
            <w:fldChar w:fldCharType="end"/>
          </w:r>
        </w:p>
        <w:p w14:paraId="00669D1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_Toc5596 </w:instrText>
          </w:r>
          <w:r>
            <w:rPr>
              <w:rFonts w:hint="eastAsia" w:ascii="宋体" w:hAnsi="宋体" w:eastAsia="宋体" w:cs="宋体"/>
              <w:szCs w:val="24"/>
            </w:rPr>
            <w:fldChar w:fldCharType="separate"/>
          </w:r>
          <w:r>
            <w:rPr>
              <w:rFonts w:hint="default"/>
              <w:lang w:val="en-US" w:eastAsia="zh-CN"/>
            </w:rPr>
            <w:t xml:space="preserve">2.6. </w:t>
          </w:r>
          <w:r>
            <w:rPr>
              <w:rFonts w:hint="eastAsia"/>
              <w:lang w:val="en-US" w:eastAsia="zh-CN"/>
            </w:rPr>
            <w:t>应急管理计划</w:t>
          </w:r>
          <w:r>
            <w:tab/>
          </w:r>
          <w:r>
            <w:fldChar w:fldCharType="begin"/>
          </w:r>
          <w:r>
            <w:instrText xml:space="preserve"> PAGEREF _Toc5596 \h </w:instrText>
          </w:r>
          <w:r>
            <w:fldChar w:fldCharType="separate"/>
          </w:r>
          <w:r>
            <w:t>16</w:t>
          </w:r>
          <w:r>
            <w:fldChar w:fldCharType="end"/>
          </w:r>
          <w:r>
            <w:rPr>
              <w:rFonts w:hint="eastAsia" w:ascii="宋体" w:hAnsi="宋体" w:eastAsia="宋体" w:cs="宋体"/>
              <w:szCs w:val="24"/>
            </w:rPr>
            <w:fldChar w:fldCharType="end"/>
          </w:r>
        </w:p>
        <w:p w14:paraId="45094CA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_Toc7242 </w:instrText>
          </w:r>
          <w:r>
            <w:rPr>
              <w:rFonts w:hint="eastAsia" w:ascii="宋体" w:hAnsi="宋体" w:eastAsia="宋体" w:cs="宋体"/>
              <w:szCs w:val="24"/>
            </w:rPr>
            <w:fldChar w:fldCharType="separate"/>
          </w:r>
          <w:r>
            <w:rPr>
              <w:rFonts w:hint="default"/>
              <w:lang w:val="en-US" w:eastAsia="zh-CN"/>
            </w:rPr>
            <w:t xml:space="preserve">2.7. </w:t>
          </w:r>
          <w:r>
            <w:rPr>
              <w:rFonts w:hint="eastAsia"/>
              <w:lang w:val="en-US" w:eastAsia="zh-CN"/>
            </w:rPr>
            <w:t>质量管理计划</w:t>
          </w:r>
          <w:r>
            <w:tab/>
          </w:r>
          <w:r>
            <w:fldChar w:fldCharType="begin"/>
          </w:r>
          <w:r>
            <w:instrText xml:space="preserve"> PAGEREF _Toc7242 \h </w:instrText>
          </w:r>
          <w:r>
            <w:fldChar w:fldCharType="separate"/>
          </w:r>
          <w:r>
            <w:t>17</w:t>
          </w:r>
          <w:r>
            <w:fldChar w:fldCharType="end"/>
          </w:r>
          <w:r>
            <w:rPr>
              <w:rFonts w:hint="eastAsia" w:ascii="宋体" w:hAnsi="宋体" w:eastAsia="宋体" w:cs="宋体"/>
              <w:szCs w:val="24"/>
            </w:rPr>
            <w:fldChar w:fldCharType="end"/>
          </w:r>
        </w:p>
        <w:p w14:paraId="0389C5B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_Toc23662 </w:instrText>
          </w:r>
          <w:r>
            <w:rPr>
              <w:rFonts w:hint="eastAsia" w:ascii="宋体" w:hAnsi="宋体" w:eastAsia="宋体" w:cs="宋体"/>
              <w:szCs w:val="24"/>
            </w:rPr>
            <w:fldChar w:fldCharType="separate"/>
          </w:r>
          <w:r>
            <w:rPr>
              <w:rFonts w:hint="default"/>
              <w:lang w:val="en-US" w:eastAsia="zh-CN"/>
            </w:rPr>
            <w:t xml:space="preserve">2.7.1. </w:t>
          </w:r>
          <w:r>
            <w:rPr>
              <w:rFonts w:hint="eastAsia"/>
              <w:lang w:val="en-US" w:eastAsia="zh-CN"/>
            </w:rPr>
            <w:t>内审</w:t>
          </w:r>
          <w:r>
            <w:tab/>
          </w:r>
          <w:r>
            <w:fldChar w:fldCharType="begin"/>
          </w:r>
          <w:r>
            <w:instrText xml:space="preserve"> PAGEREF _Toc23662 \h </w:instrText>
          </w:r>
          <w:r>
            <w:fldChar w:fldCharType="separate"/>
          </w:r>
          <w:r>
            <w:t>17</w:t>
          </w:r>
          <w:r>
            <w:fldChar w:fldCharType="end"/>
          </w:r>
          <w:r>
            <w:rPr>
              <w:rFonts w:hint="eastAsia" w:ascii="宋体" w:hAnsi="宋体" w:eastAsia="宋体" w:cs="宋体"/>
              <w:szCs w:val="24"/>
            </w:rPr>
            <w:fldChar w:fldCharType="end"/>
          </w:r>
        </w:p>
        <w:p w14:paraId="58CA69C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_Toc23654 </w:instrText>
          </w:r>
          <w:r>
            <w:rPr>
              <w:rFonts w:hint="eastAsia" w:ascii="宋体" w:hAnsi="宋体" w:eastAsia="宋体" w:cs="宋体"/>
              <w:szCs w:val="24"/>
            </w:rPr>
            <w:fldChar w:fldCharType="separate"/>
          </w:r>
          <w:r>
            <w:rPr>
              <w:rFonts w:hint="default"/>
              <w:lang w:val="en-US" w:eastAsia="zh-CN"/>
            </w:rPr>
            <w:t xml:space="preserve">2.7.2. </w:t>
          </w:r>
          <w:r>
            <w:rPr>
              <w:rFonts w:hint="eastAsia"/>
              <w:lang w:val="en-US" w:eastAsia="zh-CN"/>
            </w:rPr>
            <w:t>管评</w:t>
          </w:r>
          <w:r>
            <w:tab/>
          </w:r>
          <w:r>
            <w:fldChar w:fldCharType="begin"/>
          </w:r>
          <w:r>
            <w:instrText xml:space="preserve"> PAGEREF _Toc23654 \h </w:instrText>
          </w:r>
          <w:r>
            <w:fldChar w:fldCharType="separate"/>
          </w:r>
          <w:r>
            <w:t>17</w:t>
          </w:r>
          <w:r>
            <w:fldChar w:fldCharType="end"/>
          </w:r>
          <w:r>
            <w:rPr>
              <w:rFonts w:hint="eastAsia" w:ascii="宋体" w:hAnsi="宋体" w:eastAsia="宋体" w:cs="宋体"/>
              <w:szCs w:val="24"/>
            </w:rPr>
            <w:fldChar w:fldCharType="end"/>
          </w:r>
        </w:p>
        <w:p w14:paraId="5D762FB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_Toc11077 </w:instrText>
          </w:r>
          <w:r>
            <w:rPr>
              <w:rFonts w:hint="eastAsia" w:ascii="宋体" w:hAnsi="宋体" w:eastAsia="宋体" w:cs="宋体"/>
              <w:szCs w:val="24"/>
            </w:rPr>
            <w:fldChar w:fldCharType="separate"/>
          </w:r>
          <w:r>
            <w:rPr>
              <w:rFonts w:hint="default"/>
              <w:lang w:val="en-US" w:eastAsia="zh-CN"/>
            </w:rPr>
            <w:t xml:space="preserve">2.7.3. </w:t>
          </w:r>
          <w:r>
            <w:rPr>
              <w:rFonts w:hint="eastAsia"/>
              <w:lang w:val="en-US" w:eastAsia="zh-CN"/>
            </w:rPr>
            <w:t>客户满意度</w:t>
          </w:r>
          <w:r>
            <w:tab/>
          </w:r>
          <w:r>
            <w:fldChar w:fldCharType="begin"/>
          </w:r>
          <w:r>
            <w:instrText xml:space="preserve"> PAGEREF _Toc11077 \h </w:instrText>
          </w:r>
          <w:r>
            <w:fldChar w:fldCharType="separate"/>
          </w:r>
          <w:r>
            <w:t>17</w:t>
          </w:r>
          <w:r>
            <w:fldChar w:fldCharType="end"/>
          </w:r>
          <w:r>
            <w:rPr>
              <w:rFonts w:hint="eastAsia" w:ascii="宋体" w:hAnsi="宋体" w:eastAsia="宋体" w:cs="宋体"/>
              <w:szCs w:val="24"/>
            </w:rPr>
            <w:fldChar w:fldCharType="end"/>
          </w:r>
        </w:p>
        <w:p w14:paraId="528A9128">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980A15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592EBF06">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6353"/>
      <w:r>
        <w:rPr>
          <w:rFonts w:hint="eastAsia"/>
          <w:lang w:val="en-US" w:eastAsia="zh-CN"/>
        </w:rPr>
        <w:t>背景概况</w:t>
      </w:r>
      <w:bookmarkEnd w:id="3"/>
    </w:p>
    <w:p w14:paraId="5D0FF56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7919"/>
      <w:r>
        <w:rPr>
          <w:rFonts w:hint="eastAsia"/>
          <w:lang w:val="en-US" w:eastAsia="zh-CN"/>
        </w:rPr>
        <w:t>核心目标</w:t>
      </w:r>
      <w:bookmarkEnd w:id="4"/>
    </w:p>
    <w:p w14:paraId="35780E66">
      <w:pPr>
        <w:pStyle w:val="40"/>
        <w:numPr>
          <w:ilvl w:val="0"/>
          <w:numId w:val="2"/>
        </w:numPr>
        <w:bidi w:val="0"/>
        <w:rPr>
          <w:rFonts w:hint="eastAsia"/>
          <w:lang w:val="en-US" w:eastAsia="zh-CN"/>
        </w:rPr>
      </w:pPr>
      <w:r>
        <w:rPr>
          <w:rFonts w:hint="eastAsia"/>
          <w:lang w:val="en-US" w:eastAsia="zh-CN"/>
        </w:rPr>
        <w:t>业务拓展：再2024年的基础上，全面新增签订长期合同3-5个。</w:t>
      </w:r>
    </w:p>
    <w:p w14:paraId="2C96F5FA">
      <w:pPr>
        <w:pStyle w:val="40"/>
        <w:numPr>
          <w:ilvl w:val="0"/>
          <w:numId w:val="2"/>
        </w:numPr>
        <w:bidi w:val="0"/>
        <w:rPr>
          <w:rFonts w:hint="default"/>
          <w:lang w:val="en-US" w:eastAsia="zh-CN"/>
        </w:rPr>
      </w:pPr>
      <w:r>
        <w:rPr>
          <w:rFonts w:hint="eastAsia"/>
          <w:lang w:val="en-US" w:eastAsia="zh-CN"/>
        </w:rPr>
        <w:t>收入目标：全年运维合同总额较2024年提升约30%,实现稳健规模化增长。</w:t>
      </w:r>
    </w:p>
    <w:p w14:paraId="0098A72F">
      <w:pPr>
        <w:pStyle w:val="40"/>
        <w:numPr>
          <w:ilvl w:val="0"/>
          <w:numId w:val="2"/>
        </w:numPr>
        <w:bidi w:val="0"/>
        <w:rPr>
          <w:rFonts w:hint="default"/>
          <w:lang w:val="en-US" w:eastAsia="zh-CN"/>
        </w:rPr>
      </w:pPr>
      <w:r>
        <w:rPr>
          <w:rFonts w:hint="eastAsia"/>
          <w:lang w:val="en-US" w:eastAsia="zh-CN"/>
        </w:rPr>
        <w:t>服务深化与价值提升：</w:t>
      </w:r>
    </w:p>
    <w:p w14:paraId="581EEE64">
      <w:pPr>
        <w:pStyle w:val="29"/>
        <w:numPr>
          <w:ilvl w:val="0"/>
          <w:numId w:val="3"/>
        </w:numPr>
        <w:tabs>
          <w:tab w:val="clear" w:pos="420"/>
        </w:tabs>
        <w:ind w:left="845" w:leftChars="0" w:hanging="425" w:firstLineChars="0"/>
        <w:rPr>
          <w:rFonts w:hint="default"/>
          <w:lang w:val="en-US" w:eastAsia="zh-CN"/>
        </w:rPr>
      </w:pPr>
      <w:r>
        <w:rPr>
          <w:rFonts w:hint="eastAsia"/>
          <w:lang w:val="en-US" w:eastAsia="zh-CN"/>
        </w:rPr>
        <w:t>实现至少2个核心客户续约</w:t>
      </w:r>
    </w:p>
    <w:p w14:paraId="21C52A32">
      <w:pPr>
        <w:pStyle w:val="29"/>
        <w:numPr>
          <w:ilvl w:val="0"/>
          <w:numId w:val="3"/>
        </w:numPr>
        <w:tabs>
          <w:tab w:val="clear" w:pos="420"/>
        </w:tabs>
        <w:ind w:left="845" w:leftChars="0" w:hanging="425" w:firstLineChars="0"/>
        <w:rPr>
          <w:rFonts w:hint="default"/>
          <w:lang w:val="en-US" w:eastAsia="zh-CN"/>
        </w:rPr>
      </w:pPr>
      <w:r>
        <w:rPr>
          <w:rFonts w:hint="eastAsia"/>
          <w:lang w:val="en-US" w:eastAsia="zh-CN"/>
        </w:rPr>
        <w:t>客户满意度调查得分不能低于90%</w:t>
      </w:r>
    </w:p>
    <w:p w14:paraId="5D08B80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3534"/>
      <w:r>
        <w:rPr>
          <w:rFonts w:hint="eastAsia"/>
          <w:lang w:val="en-US" w:eastAsia="zh-CN"/>
        </w:rPr>
        <w:t>公司沿革与核心优势</w:t>
      </w:r>
      <w:bookmarkEnd w:id="5"/>
    </w:p>
    <w:p w14:paraId="2BD705FB">
      <w:pPr>
        <w:pStyle w:val="29"/>
        <w:rPr>
          <w:rFonts w:hint="eastAsia"/>
          <w:lang w:val="en-US" w:eastAsia="zh-CN"/>
        </w:rPr>
      </w:pPr>
      <w:r>
        <w:rPr>
          <w:rFonts w:hint="eastAsia"/>
          <w:lang w:val="en-US" w:eastAsia="zh-CN"/>
        </w:rPr>
        <w:t>江西省通信产业服务有限公司作为中国通信服务在江西设立的全资子公司，是省内唯一一家综合性信息化领域生产性服务企业，具备覆盖咨询、设计、施工、集成、运维全链条的一体化服务能力。公司依托央企背景与行业领先资质，深度融入数字中国建设，在智慧城市、数字政府、智慧医疗、智慧教育、智慧交通等领域拥有多个省级标杆项目。公司具备强大的自主研发能力，拥有70余项软件著作权及专利，并在5G、大数据、物联网、人工智能等新一代信息技术方面积累了成熟的融合应用经验。</w:t>
      </w:r>
    </w:p>
    <w:p w14:paraId="33F3A5B2">
      <w:pPr>
        <w:pStyle w:val="29"/>
        <w:rPr>
          <w:rFonts w:hint="eastAsia"/>
          <w:lang w:val="en-US" w:eastAsia="zh-CN"/>
        </w:rPr>
      </w:pPr>
      <w:r>
        <w:rPr>
          <w:rFonts w:hint="eastAsia"/>
          <w:lang w:val="en-US" w:eastAsia="zh-CN"/>
        </w:rPr>
        <w:t>在软件运维服务领域，公司同样展现出卓越的专业实力与服务深度。我们拥有一支超百人的软件运维专业团队，成员技术扎实、响应迅速，专注于为客户提供稳定、安全、高效的运维保障。这支团队不仅具备丰富的系统监控、故障排查与性能优化经验，更坚持以“上善若水的乙方文化”为导向，在服务中践行“利泽万物”的价值追求，通过预防性维护与智能化管理，切实保障各类软件系统平稳运行、持续赋能业务发展。</w:t>
      </w:r>
    </w:p>
    <w:p w14:paraId="3EFF8CB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2230"/>
      <w:r>
        <w:rPr>
          <w:rFonts w:hint="eastAsia"/>
          <w:lang w:val="en-US" w:eastAsia="zh-CN"/>
        </w:rPr>
        <w:t>引入ITSS的必要性</w:t>
      </w:r>
      <w:bookmarkEnd w:id="6"/>
    </w:p>
    <w:p w14:paraId="012EAB8B">
      <w:pPr>
        <w:pStyle w:val="29"/>
        <w:rPr>
          <w:rFonts w:hint="eastAsia"/>
          <w:lang w:val="en-US" w:eastAsia="zh-CN"/>
        </w:rPr>
      </w:pPr>
      <w:r>
        <w:rPr>
          <w:rFonts w:hint="eastAsia"/>
          <w:lang w:val="en-US" w:eastAsia="zh-CN"/>
        </w:rPr>
        <w:t>为持续强化服务竞争优势、提升运营管理能效，公司决定全面引入并实施信息技术服务标准（ITSS）体系。通过获得ITSS三级认证，我们将实现以下战略目标：</w:t>
      </w:r>
    </w:p>
    <w:p w14:paraId="7E275D7B">
      <w:pPr>
        <w:pStyle w:val="29"/>
        <w:numPr>
          <w:ilvl w:val="0"/>
          <w:numId w:val="4"/>
        </w:numPr>
        <w:ind w:left="425" w:leftChars="0" w:hanging="425" w:firstLineChars="0"/>
        <w:rPr>
          <w:rFonts w:hint="eastAsia"/>
          <w:lang w:val="en-US" w:eastAsia="zh-CN"/>
        </w:rPr>
      </w:pPr>
      <w:r>
        <w:rPr>
          <w:rFonts w:hint="eastAsia"/>
          <w:lang w:val="en-US" w:eastAsia="zh-CN"/>
        </w:rPr>
        <w:t>构建系统化服务能力：基于ITSS框架建立覆盖全流程的服务管理体系，形成标准化、可复制的服务交付模式，塑造行业专业品牌形象。</w:t>
      </w:r>
    </w:p>
    <w:p w14:paraId="6DC2BBF6">
      <w:pPr>
        <w:pStyle w:val="29"/>
        <w:numPr>
          <w:ilvl w:val="0"/>
          <w:numId w:val="4"/>
        </w:numPr>
        <w:ind w:left="425" w:leftChars="0" w:hanging="425" w:firstLineChars="0"/>
        <w:rPr>
          <w:rFonts w:hint="eastAsia"/>
          <w:lang w:val="en-US" w:eastAsia="zh-CN"/>
        </w:rPr>
      </w:pPr>
      <w:r>
        <w:rPr>
          <w:rFonts w:hint="eastAsia"/>
          <w:lang w:val="en-US" w:eastAsia="zh-CN"/>
        </w:rPr>
        <w:t>推动服务标准化与品质升级：通过规范服务流程、统一交付语言、明确角色职责，确保服务过程可控、结果可预期，持续满足并超越客户的服务承诺。</w:t>
      </w:r>
    </w:p>
    <w:p w14:paraId="691B9A56">
      <w:pPr>
        <w:pStyle w:val="29"/>
        <w:numPr>
          <w:ilvl w:val="0"/>
          <w:numId w:val="4"/>
        </w:numPr>
        <w:ind w:left="425" w:leftChars="0" w:hanging="425" w:firstLineChars="0"/>
        <w:rPr>
          <w:rFonts w:hint="eastAsia"/>
          <w:lang w:val="en-US" w:eastAsia="zh-CN"/>
        </w:rPr>
      </w:pPr>
      <w:r>
        <w:rPr>
          <w:rFonts w:hint="eastAsia"/>
          <w:lang w:val="en-US" w:eastAsia="zh-CN"/>
        </w:rPr>
        <w:t>建立持续改进机制：依托ITSS的“规划—实施—评价—改进”闭环管理机制，实现服务能力的迭代优化与体系化提升，推动组织向更高成熟度演进。</w:t>
      </w:r>
    </w:p>
    <w:p w14:paraId="487737D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7" w:name="_Toc27404"/>
      <w:bookmarkStart w:id="8" w:name="_Toc8160"/>
      <w:r>
        <w:rPr>
          <w:rFonts w:hint="eastAsia"/>
          <w:lang w:val="en-US" w:eastAsia="zh-CN"/>
        </w:rPr>
        <w:t>人力资源配置</w:t>
      </w:r>
      <w:bookmarkEnd w:id="7"/>
      <w:bookmarkEnd w:id="8"/>
    </w:p>
    <w:p w14:paraId="6F5BF8B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当前运维团队已初步构建涵盖一线服务、技术支撑及管理协调的基本架构，能够满足现阶段业务运营需求。但随着运维服务范围的拓展与深度要求的提升，现有团队在技术能力与专业储备方面面临持续挑战。为支撑公司服务能力的系统性提升、保障业务规模的有序扩张，并顺利通过ITSS三级认证，公司已制定明确的人力资源发展计划。</w:t>
      </w:r>
    </w:p>
    <w:p w14:paraId="268BC71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计划在一年内，通过定向引入具备专业运维经验的技术人才，持续优化团队结构，增强现场服务响应与核心技术攻关能力。同时，公司将建立完善的关键岗位储备机制，确保核心职能具备充分的岗位备份与技能冗余，逐步构建一支结构合理、能力全面、支撑有力的专业化运维团队，为公司长期发展提供坚实的人才保障。</w:t>
      </w:r>
    </w:p>
    <w:p w14:paraId="42CBBF1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9" w:name="_Toc26478"/>
      <w:r>
        <w:rPr>
          <w:rFonts w:hint="eastAsia"/>
          <w:lang w:val="en-US" w:eastAsia="zh-CN"/>
        </w:rPr>
        <w:t>运维保障提升</w:t>
      </w:r>
      <w:bookmarkEnd w:id="9"/>
    </w:p>
    <w:p w14:paraId="7682C30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0" w:name="_Toc15249"/>
      <w:r>
        <w:rPr>
          <w:rFonts w:hint="eastAsia"/>
          <w:lang w:val="en-US" w:eastAsia="zh-CN"/>
        </w:rPr>
        <w:t>服务台</w:t>
      </w:r>
      <w:bookmarkEnd w:id="10"/>
    </w:p>
    <w:p w14:paraId="2A75E2F8">
      <w:pPr>
        <w:pStyle w:val="29"/>
        <w:bidi w:val="0"/>
        <w:rPr>
          <w:rFonts w:hint="eastAsia"/>
          <w:lang w:val="en-US" w:eastAsia="zh-CN"/>
        </w:rPr>
      </w:pPr>
      <w:r>
        <w:t>公司已建成统一服务台，全面承接客户服务请求，确保每项需求得到及时、规范的响应与处理，显著提升服务感知与客户满意度。后续，数智运营部将持续深化服务台能力建设，重点推动技术赋能与服务流程优化，着力提升在线直接解决率，减少工单流转层级与转派耗时，以更敏捷、高效的方式支撑一线业务运营，为客户提供更优质、连贯的服务体验。</w:t>
      </w:r>
    </w:p>
    <w:p w14:paraId="49E6841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1" w:name="_Toc2289"/>
      <w:r>
        <w:rPr>
          <w:rFonts w:hint="eastAsia"/>
          <w:lang w:val="en-US" w:eastAsia="zh-CN"/>
        </w:rPr>
        <w:t>运维工具</w:t>
      </w:r>
      <w:bookmarkEnd w:id="11"/>
    </w:p>
    <w:p w14:paraId="4B9668CD">
      <w:pPr>
        <w:pStyle w:val="29"/>
        <w:rPr>
          <w:rFonts w:hint="eastAsia"/>
          <w:lang w:val="en-US" w:eastAsia="zh-CN"/>
        </w:rPr>
      </w:pPr>
      <w:r>
        <w:rPr>
          <w:rFonts w:hint="eastAsia"/>
          <w:lang w:val="en-US" w:eastAsia="zh-CN"/>
        </w:rPr>
        <w:t>在运维过程管理工具方面，公司已部署通服信息化服务平台和运维安全与数据库审计管控平台，数智运营部及相关团队均已完成培训并熟练使用，有效实现了任务协同、过程跟踪与业务数据的集中采集与分析。未来，研究总院将持续负责该平台的功能优化与迭代升级，并将结合数智运营部在实际使用中提出的反馈与建议，纳入年度研发计划中，确保工具能力与业务发展同步演进，进一步提升运维管理效率与数据支撑能力。</w:t>
      </w:r>
    </w:p>
    <w:p w14:paraId="0E3256C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2" w:name="_Toc9445"/>
      <w:r>
        <w:rPr>
          <w:rFonts w:hint="eastAsia"/>
          <w:lang w:val="en-US" w:eastAsia="zh-CN"/>
        </w:rPr>
        <w:t>服务知识</w:t>
      </w:r>
      <w:bookmarkEnd w:id="12"/>
    </w:p>
    <w:p w14:paraId="31ABDFF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持续提升服务质量并支持公司档案存储业务的拓展，数智运营部将联合研究总院对现有《服务知识管理制度》进行全面梳理与优化，推动服务实践经验的系统性沉淀与知识资产化。质量管理部将负责监督该制度在业务中的落地执行与效果评估，确保其有效支撑服务过程。</w:t>
      </w:r>
    </w:p>
    <w:p w14:paraId="73DF225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同时，人力部将协同开展专项能力培训，并适时引入具备相关经验的专业人才，通过人员能力、管理流程与平台工具三者的有机结合，共同保障数据中心运维管理服务项目的高质量交付与服务水平的持续提升。</w:t>
      </w:r>
    </w:p>
    <w:p w14:paraId="41C3F90F">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3" w:name="_Toc24703"/>
      <w:r>
        <w:rPr>
          <w:rFonts w:hint="eastAsia"/>
          <w:lang w:val="en-US" w:eastAsia="zh-CN"/>
        </w:rPr>
        <w:t>运维服务能力管理计划</w:t>
      </w:r>
      <w:bookmarkEnd w:id="13"/>
    </w:p>
    <w:p w14:paraId="7C7289C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4" w:name="_Toc10440"/>
      <w:bookmarkStart w:id="15" w:name="_Toc27709"/>
      <w:r>
        <w:rPr>
          <w:rFonts w:hint="eastAsia"/>
          <w:lang w:val="en-US" w:eastAsia="zh-CN"/>
        </w:rPr>
        <w:t>人员管理计划</w:t>
      </w:r>
      <w:bookmarkEnd w:id="14"/>
      <w:bookmarkEnd w:id="15"/>
    </w:p>
    <w:p w14:paraId="3652787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6" w:name="_Toc1678"/>
      <w:bookmarkStart w:id="17" w:name="_Toc25581"/>
      <w:r>
        <w:rPr>
          <w:rFonts w:hint="eastAsia"/>
          <w:lang w:val="en-US" w:eastAsia="zh-CN"/>
        </w:rPr>
        <w:t>人员储备管理计划</w:t>
      </w:r>
      <w:bookmarkEnd w:id="16"/>
    </w:p>
    <w:p w14:paraId="33357433">
      <w:pPr>
        <w:pStyle w:val="29"/>
        <w:bidi w:val="0"/>
        <w:rPr>
          <w:rFonts w:hint="default"/>
          <w:lang w:val="en-US" w:eastAsia="zh-CN"/>
        </w:rPr>
      </w:pPr>
      <w:r>
        <w:rPr>
          <w:rFonts w:hint="eastAsia"/>
          <w:lang w:val="en-US" w:eastAsia="zh-CN"/>
        </w:rPr>
        <w:t>结合</w:t>
      </w:r>
      <w:r>
        <w:rPr>
          <w:rFonts w:hint="default"/>
          <w:lang w:val="en-US" w:eastAsia="zh-CN"/>
        </w:rPr>
        <w:t>业务影响度</w:t>
      </w:r>
      <w:r>
        <w:rPr>
          <w:rFonts w:hint="eastAsia"/>
          <w:lang w:val="en-US" w:eastAsia="zh-CN"/>
        </w:rPr>
        <w:t>、</w:t>
      </w:r>
      <w:r>
        <w:rPr>
          <w:rFonts w:hint="default"/>
          <w:lang w:val="en-US" w:eastAsia="zh-CN"/>
        </w:rPr>
        <w:t>人才稀缺性</w:t>
      </w:r>
      <w:r>
        <w:rPr>
          <w:rFonts w:hint="eastAsia"/>
          <w:lang w:val="en-US" w:eastAsia="zh-CN"/>
        </w:rPr>
        <w:t>和</w:t>
      </w:r>
      <w:r>
        <w:rPr>
          <w:rFonts w:hint="default"/>
          <w:lang w:val="en-US" w:eastAsia="zh-CN"/>
        </w:rPr>
        <w:t>岗位稳定性风险</w:t>
      </w:r>
      <w:r>
        <w:rPr>
          <w:rFonts w:hint="eastAsia"/>
          <w:lang w:val="en-US" w:eastAsia="zh-CN"/>
        </w:rPr>
        <w:t>三项识别原则，识别出关键岗位为数智运营部经理、研究总院经理、质量管理部经理。根据以上三个关键岗位，结合储备人员选拔标准，决定进行内部储备，制定如下的储备计划：</w:t>
      </w:r>
    </w:p>
    <w:tbl>
      <w:tblPr>
        <w:tblStyle w:val="21"/>
        <w:tblW w:w="85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0"/>
        <w:gridCol w:w="2957"/>
        <w:gridCol w:w="1511"/>
        <w:gridCol w:w="1511"/>
        <w:gridCol w:w="1511"/>
      </w:tblGrid>
      <w:tr w14:paraId="60A82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blHeader/>
          <w:jc w:val="center"/>
        </w:trPr>
        <w:tc>
          <w:tcPr>
            <w:tcW w:w="1030" w:type="dxa"/>
            <w:vAlign w:val="center"/>
          </w:tcPr>
          <w:p w14:paraId="77B3304E">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序号</w:t>
            </w:r>
          </w:p>
        </w:tc>
        <w:tc>
          <w:tcPr>
            <w:tcW w:w="2957" w:type="dxa"/>
            <w:vAlign w:val="center"/>
          </w:tcPr>
          <w:p w14:paraId="1F70C117">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岗位名称</w:t>
            </w:r>
          </w:p>
        </w:tc>
        <w:tc>
          <w:tcPr>
            <w:tcW w:w="1511" w:type="dxa"/>
            <w:vAlign w:val="center"/>
          </w:tcPr>
          <w:p w14:paraId="4343FDE9">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储备人数</w:t>
            </w:r>
          </w:p>
        </w:tc>
        <w:tc>
          <w:tcPr>
            <w:tcW w:w="1511" w:type="dxa"/>
            <w:vAlign w:val="center"/>
          </w:tcPr>
          <w:p w14:paraId="11008787">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储备来源</w:t>
            </w:r>
          </w:p>
        </w:tc>
        <w:tc>
          <w:tcPr>
            <w:tcW w:w="1511" w:type="dxa"/>
            <w:vAlign w:val="center"/>
          </w:tcPr>
          <w:p w14:paraId="7E60EEA1">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计划完成时间</w:t>
            </w:r>
          </w:p>
        </w:tc>
      </w:tr>
      <w:tr w14:paraId="4A899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30" w:type="dxa"/>
            <w:vAlign w:val="center"/>
          </w:tcPr>
          <w:p w14:paraId="57E4A353">
            <w:pPr>
              <w:pStyle w:val="29"/>
              <w:widowControl w:val="0"/>
              <w:numPr>
                <w:ilvl w:val="0"/>
                <w:numId w:val="5"/>
              </w:numPr>
              <w:snapToGrid w:val="0"/>
              <w:spacing w:line="240" w:lineRule="auto"/>
              <w:ind w:left="425" w:leftChars="0" w:right="0" w:rightChars="0" w:hanging="425" w:firstLineChars="0"/>
              <w:jc w:val="center"/>
              <w:rPr>
                <w:rFonts w:hint="default"/>
                <w:vertAlign w:val="baseline"/>
                <w:lang w:val="en-US" w:eastAsia="zh-CN"/>
              </w:rPr>
            </w:pPr>
          </w:p>
        </w:tc>
        <w:tc>
          <w:tcPr>
            <w:tcW w:w="2957" w:type="dxa"/>
            <w:vAlign w:val="center"/>
          </w:tcPr>
          <w:p w14:paraId="23A969B6">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运维部经理</w:t>
            </w:r>
          </w:p>
        </w:tc>
        <w:tc>
          <w:tcPr>
            <w:tcW w:w="1511" w:type="dxa"/>
            <w:vAlign w:val="center"/>
          </w:tcPr>
          <w:p w14:paraId="7726BEB7">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2人</w:t>
            </w:r>
          </w:p>
        </w:tc>
        <w:tc>
          <w:tcPr>
            <w:tcW w:w="1511" w:type="dxa"/>
            <w:vAlign w:val="center"/>
          </w:tcPr>
          <w:p w14:paraId="640C5616">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内部储备</w:t>
            </w:r>
          </w:p>
        </w:tc>
        <w:tc>
          <w:tcPr>
            <w:tcW w:w="1511" w:type="dxa"/>
            <w:vAlign w:val="center"/>
          </w:tcPr>
          <w:p w14:paraId="486B5DCE">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2025年3月</w:t>
            </w:r>
          </w:p>
        </w:tc>
      </w:tr>
      <w:tr w14:paraId="3825B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30" w:type="dxa"/>
            <w:vAlign w:val="center"/>
          </w:tcPr>
          <w:p w14:paraId="4737F1FB">
            <w:pPr>
              <w:pStyle w:val="29"/>
              <w:widowControl w:val="0"/>
              <w:numPr>
                <w:ilvl w:val="0"/>
                <w:numId w:val="5"/>
              </w:numPr>
              <w:snapToGrid w:val="0"/>
              <w:spacing w:line="240" w:lineRule="auto"/>
              <w:ind w:left="425" w:leftChars="0" w:right="0" w:rightChars="0" w:hanging="425" w:firstLineChars="0"/>
              <w:jc w:val="center"/>
              <w:rPr>
                <w:rFonts w:hint="default"/>
                <w:vertAlign w:val="baseline"/>
                <w:lang w:val="en-US" w:eastAsia="zh-CN"/>
              </w:rPr>
            </w:pPr>
          </w:p>
        </w:tc>
        <w:tc>
          <w:tcPr>
            <w:tcW w:w="2957" w:type="dxa"/>
            <w:vAlign w:val="center"/>
          </w:tcPr>
          <w:p w14:paraId="0E79F1EB">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研究总院经理</w:t>
            </w:r>
          </w:p>
        </w:tc>
        <w:tc>
          <w:tcPr>
            <w:tcW w:w="1511" w:type="dxa"/>
            <w:vAlign w:val="center"/>
          </w:tcPr>
          <w:p w14:paraId="657C9E13">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1人</w:t>
            </w:r>
          </w:p>
        </w:tc>
        <w:tc>
          <w:tcPr>
            <w:tcW w:w="1511" w:type="dxa"/>
            <w:vAlign w:val="center"/>
          </w:tcPr>
          <w:p w14:paraId="72DFAFF0">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内部储备</w:t>
            </w:r>
          </w:p>
        </w:tc>
        <w:tc>
          <w:tcPr>
            <w:tcW w:w="1511" w:type="dxa"/>
            <w:vAlign w:val="center"/>
          </w:tcPr>
          <w:p w14:paraId="3CC25059">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2025年4月</w:t>
            </w:r>
          </w:p>
        </w:tc>
      </w:tr>
      <w:tr w14:paraId="5A95C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30" w:type="dxa"/>
            <w:vAlign w:val="center"/>
          </w:tcPr>
          <w:p w14:paraId="28D6C3F1">
            <w:pPr>
              <w:pStyle w:val="29"/>
              <w:widowControl w:val="0"/>
              <w:numPr>
                <w:ilvl w:val="0"/>
                <w:numId w:val="5"/>
              </w:numPr>
              <w:snapToGrid w:val="0"/>
              <w:spacing w:line="240" w:lineRule="auto"/>
              <w:ind w:left="425" w:leftChars="0" w:right="0" w:rightChars="0" w:hanging="425" w:firstLineChars="0"/>
              <w:jc w:val="center"/>
              <w:rPr>
                <w:rFonts w:hint="default"/>
                <w:vertAlign w:val="baseline"/>
                <w:lang w:val="en-US" w:eastAsia="zh-CN"/>
              </w:rPr>
            </w:pPr>
          </w:p>
        </w:tc>
        <w:tc>
          <w:tcPr>
            <w:tcW w:w="2957" w:type="dxa"/>
            <w:vAlign w:val="center"/>
          </w:tcPr>
          <w:p w14:paraId="26853E1D">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质量管理部经理</w:t>
            </w:r>
          </w:p>
        </w:tc>
        <w:tc>
          <w:tcPr>
            <w:tcW w:w="1511" w:type="dxa"/>
            <w:vAlign w:val="center"/>
          </w:tcPr>
          <w:p w14:paraId="77295CCD">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1人</w:t>
            </w:r>
          </w:p>
        </w:tc>
        <w:tc>
          <w:tcPr>
            <w:tcW w:w="1511" w:type="dxa"/>
            <w:vAlign w:val="center"/>
          </w:tcPr>
          <w:p w14:paraId="5994F99D">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内部储备</w:t>
            </w:r>
          </w:p>
        </w:tc>
        <w:tc>
          <w:tcPr>
            <w:tcW w:w="1511" w:type="dxa"/>
            <w:vAlign w:val="center"/>
          </w:tcPr>
          <w:p w14:paraId="11802EA3">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2025年7月</w:t>
            </w:r>
          </w:p>
        </w:tc>
      </w:tr>
    </w:tbl>
    <w:p w14:paraId="57D0F1DB">
      <w:pPr>
        <w:pStyle w:val="29"/>
        <w:rPr>
          <w:rFonts w:hint="eastAsia"/>
          <w:lang w:val="en-US" w:eastAsia="zh-CN"/>
        </w:rPr>
      </w:pPr>
    </w:p>
    <w:p w14:paraId="5C036080">
      <w:pPr>
        <w:pStyle w:val="29"/>
        <w:rPr>
          <w:rFonts w:hint="eastAsia"/>
          <w:lang w:val="en-US" w:eastAsia="zh-CN"/>
        </w:rPr>
      </w:pPr>
    </w:p>
    <w:p w14:paraId="54287DBD">
      <w:pPr>
        <w:pStyle w:val="29"/>
        <w:rPr>
          <w:rFonts w:hint="eastAsia"/>
          <w:lang w:val="en-US" w:eastAsia="zh-CN"/>
        </w:rPr>
      </w:pPr>
    </w:p>
    <w:p w14:paraId="303E9F5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8" w:name="_Toc21356"/>
      <w:r>
        <w:rPr>
          <w:rFonts w:hint="eastAsia"/>
          <w:lang w:val="en-US" w:eastAsia="zh-CN"/>
        </w:rPr>
        <w:t>人员招聘管理计划</w:t>
      </w:r>
      <w:bookmarkEnd w:id="17"/>
      <w:bookmarkEnd w:id="18"/>
    </w:p>
    <w:p w14:paraId="41D6321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公司人员招聘计划如表所示</w:t>
      </w:r>
    </w:p>
    <w:p w14:paraId="7955C90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-人员招聘计划表</w:t>
      </w:r>
    </w:p>
    <w:tbl>
      <w:tblPr>
        <w:tblStyle w:val="2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8"/>
        <w:gridCol w:w="1825"/>
        <w:gridCol w:w="2134"/>
        <w:gridCol w:w="1520"/>
        <w:gridCol w:w="2142"/>
      </w:tblGrid>
      <w:tr w14:paraId="641A2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898" w:type="dxa"/>
            <w:vAlign w:val="center"/>
          </w:tcPr>
          <w:p w14:paraId="65086962">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序号</w:t>
            </w:r>
          </w:p>
        </w:tc>
        <w:tc>
          <w:tcPr>
            <w:tcW w:w="1825" w:type="dxa"/>
            <w:vAlign w:val="center"/>
          </w:tcPr>
          <w:p w14:paraId="6AB7CB9C">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需求部门</w:t>
            </w:r>
          </w:p>
        </w:tc>
        <w:tc>
          <w:tcPr>
            <w:tcW w:w="2134" w:type="dxa"/>
            <w:vAlign w:val="center"/>
          </w:tcPr>
          <w:p w14:paraId="07FFDAEA">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岗位名称</w:t>
            </w:r>
          </w:p>
        </w:tc>
        <w:tc>
          <w:tcPr>
            <w:tcW w:w="1520" w:type="dxa"/>
            <w:vAlign w:val="center"/>
          </w:tcPr>
          <w:p w14:paraId="731A2645">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招聘人数</w:t>
            </w:r>
          </w:p>
        </w:tc>
        <w:tc>
          <w:tcPr>
            <w:tcW w:w="2142" w:type="dxa"/>
            <w:vAlign w:val="center"/>
          </w:tcPr>
          <w:p w14:paraId="39FA0C15">
            <w:pPr>
              <w:pStyle w:val="29"/>
              <w:widowControl w:val="0"/>
              <w:snapToGrid w:val="0"/>
              <w:spacing w:line="240" w:lineRule="auto"/>
              <w:ind w:left="0" w:leftChars="0" w:right="0" w:rightChars="0" w:firstLine="0" w:firstLineChars="0"/>
              <w:jc w:val="center"/>
              <w:rPr>
                <w:rFonts w:hint="default"/>
                <w:b/>
                <w:vertAlign w:val="baseline"/>
                <w:lang w:val="en-US" w:eastAsia="zh-CN"/>
              </w:rPr>
            </w:pPr>
            <w:r>
              <w:rPr>
                <w:rFonts w:hint="eastAsia"/>
                <w:b/>
                <w:vertAlign w:val="baseline"/>
                <w:lang w:val="en-US" w:eastAsia="zh-CN"/>
              </w:rPr>
              <w:t>计划完成时间</w:t>
            </w:r>
          </w:p>
        </w:tc>
      </w:tr>
      <w:tr w14:paraId="63CCD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2894E98E">
            <w:pPr>
              <w:pStyle w:val="29"/>
              <w:widowControl w:val="0"/>
              <w:numPr>
                <w:ilvl w:val="0"/>
                <w:numId w:val="6"/>
              </w:numPr>
              <w:snapToGrid w:val="0"/>
              <w:spacing w:line="240" w:lineRule="auto"/>
              <w:ind w:left="0" w:leftChars="0" w:right="0" w:rightChars="0" w:firstLine="0" w:firstLineChars="0"/>
              <w:jc w:val="left"/>
              <w:rPr>
                <w:rFonts w:hint="default" w:ascii="Arial" w:eastAsia="宋体"/>
                <w:sz w:val="24"/>
                <w:vertAlign w:val="baseline"/>
                <w:lang w:val="en-US" w:eastAsia="zh-CN"/>
              </w:rPr>
            </w:pPr>
          </w:p>
        </w:tc>
        <w:tc>
          <w:tcPr>
            <w:tcW w:w="1825" w:type="dxa"/>
            <w:vAlign w:val="center"/>
          </w:tcPr>
          <w:p w14:paraId="008AD769">
            <w:pPr>
              <w:pStyle w:val="29"/>
              <w:widowControl w:val="0"/>
              <w:snapToGrid w:val="0"/>
              <w:spacing w:line="240" w:lineRule="auto"/>
              <w:ind w:left="0" w:leftChars="0" w:right="0" w:rightChars="0" w:firstLine="0" w:firstLineChars="0"/>
              <w:jc w:val="left"/>
              <w:rPr>
                <w:rFonts w:hint="default" w:ascii="Arial" w:eastAsia="宋体"/>
                <w:sz w:val="24"/>
                <w:vertAlign w:val="baseline"/>
                <w:lang w:val="en-US" w:eastAsia="zh-CN"/>
              </w:rPr>
            </w:pPr>
            <w:r>
              <w:rPr>
                <w:rFonts w:hint="eastAsia" w:ascii="Arial" w:eastAsia="宋体"/>
                <w:sz w:val="24"/>
                <w:vertAlign w:val="baseline"/>
                <w:lang w:val="en-US" w:eastAsia="zh-CN"/>
              </w:rPr>
              <w:t>数智运营部</w:t>
            </w:r>
          </w:p>
        </w:tc>
        <w:tc>
          <w:tcPr>
            <w:tcW w:w="2134" w:type="dxa"/>
            <w:vAlign w:val="center"/>
          </w:tcPr>
          <w:p w14:paraId="66479615">
            <w:pPr>
              <w:pStyle w:val="29"/>
              <w:widowControl w:val="0"/>
              <w:snapToGrid w:val="0"/>
              <w:spacing w:line="240" w:lineRule="auto"/>
              <w:ind w:left="0" w:leftChars="0" w:right="0" w:rightChars="0" w:firstLine="0" w:firstLineChars="0"/>
              <w:jc w:val="center"/>
              <w:rPr>
                <w:rFonts w:hint="default" w:ascii="Arial" w:eastAsia="宋体"/>
                <w:sz w:val="24"/>
                <w:vertAlign w:val="baseline"/>
                <w:lang w:val="en-US" w:eastAsia="zh-CN"/>
              </w:rPr>
            </w:pPr>
            <w:r>
              <w:rPr>
                <w:rFonts w:hint="eastAsia" w:ascii="Arial" w:eastAsia="宋体"/>
                <w:sz w:val="24"/>
                <w:vertAlign w:val="baseline"/>
                <w:lang w:val="en-US" w:eastAsia="zh-CN"/>
              </w:rPr>
              <w:t>运维工程师</w:t>
            </w:r>
          </w:p>
        </w:tc>
        <w:tc>
          <w:tcPr>
            <w:tcW w:w="1520" w:type="dxa"/>
            <w:vAlign w:val="center"/>
          </w:tcPr>
          <w:p w14:paraId="2BA63E3E">
            <w:pPr>
              <w:pStyle w:val="29"/>
              <w:widowControl w:val="0"/>
              <w:snapToGrid w:val="0"/>
              <w:spacing w:line="240" w:lineRule="auto"/>
              <w:ind w:left="0" w:leftChars="0" w:right="0" w:rightChars="0" w:firstLine="0" w:firstLineChars="0"/>
              <w:jc w:val="center"/>
              <w:rPr>
                <w:rFonts w:hint="default" w:ascii="Arial" w:eastAsia="宋体"/>
                <w:sz w:val="24"/>
                <w:vertAlign w:val="baseline"/>
                <w:lang w:val="en-US" w:eastAsia="zh-CN"/>
              </w:rPr>
            </w:pPr>
            <w:r>
              <w:rPr>
                <w:rFonts w:hint="eastAsia" w:ascii="Arial" w:eastAsia="宋体"/>
                <w:sz w:val="24"/>
                <w:vertAlign w:val="baseline"/>
                <w:lang w:val="en-US" w:eastAsia="zh-CN"/>
              </w:rPr>
              <w:t>1人</w:t>
            </w:r>
          </w:p>
        </w:tc>
        <w:tc>
          <w:tcPr>
            <w:tcW w:w="2142" w:type="dxa"/>
            <w:vAlign w:val="center"/>
          </w:tcPr>
          <w:p w14:paraId="6C10777C">
            <w:pPr>
              <w:pStyle w:val="29"/>
              <w:widowControl w:val="0"/>
              <w:snapToGrid w:val="0"/>
              <w:spacing w:line="240" w:lineRule="auto"/>
              <w:ind w:left="0" w:leftChars="0" w:right="0" w:rightChars="0" w:firstLine="0" w:firstLineChars="0"/>
              <w:jc w:val="center"/>
              <w:rPr>
                <w:rFonts w:hint="default" w:ascii="Arial" w:eastAsia="宋体"/>
                <w:sz w:val="24"/>
                <w:vertAlign w:val="baseline"/>
                <w:lang w:val="en-US" w:eastAsia="zh-CN"/>
              </w:rPr>
            </w:pPr>
            <w:r>
              <w:rPr>
                <w:rFonts w:hint="eastAsia" w:ascii="Arial" w:eastAsia="宋体"/>
                <w:sz w:val="24"/>
                <w:vertAlign w:val="baseline"/>
                <w:lang w:val="en-US" w:eastAsia="zh-CN"/>
              </w:rPr>
              <w:t>2025年2月</w:t>
            </w:r>
          </w:p>
        </w:tc>
      </w:tr>
      <w:tr w14:paraId="114C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533108F7">
            <w:pPr>
              <w:pStyle w:val="29"/>
              <w:widowControl w:val="0"/>
              <w:numPr>
                <w:ilvl w:val="0"/>
                <w:numId w:val="6"/>
              </w:numPr>
              <w:snapToGrid w:val="0"/>
              <w:spacing w:line="240" w:lineRule="auto"/>
              <w:ind w:left="0" w:leftChars="0" w:right="0" w:rightChars="0" w:firstLine="0" w:firstLineChars="0"/>
              <w:jc w:val="left"/>
              <w:rPr>
                <w:rFonts w:hint="default" w:ascii="Arial" w:eastAsia="宋体"/>
                <w:sz w:val="24"/>
                <w:vertAlign w:val="baseline"/>
                <w:lang w:val="en-US" w:eastAsia="zh-CN"/>
              </w:rPr>
            </w:pPr>
          </w:p>
        </w:tc>
        <w:tc>
          <w:tcPr>
            <w:tcW w:w="1825" w:type="dxa"/>
            <w:vAlign w:val="center"/>
          </w:tcPr>
          <w:p w14:paraId="2753A379">
            <w:pPr>
              <w:pStyle w:val="29"/>
              <w:widowControl w:val="0"/>
              <w:snapToGrid w:val="0"/>
              <w:spacing w:line="240" w:lineRule="auto"/>
              <w:ind w:left="0" w:leftChars="0" w:right="0" w:rightChars="0" w:firstLine="0" w:firstLineChars="0"/>
              <w:jc w:val="left"/>
              <w:rPr>
                <w:rFonts w:hint="default" w:ascii="Arial" w:eastAsia="宋体"/>
                <w:sz w:val="24"/>
                <w:vertAlign w:val="baseline"/>
                <w:lang w:val="en-US" w:eastAsia="zh-CN"/>
              </w:rPr>
            </w:pPr>
            <w:r>
              <w:rPr>
                <w:rFonts w:hint="eastAsia" w:ascii="Arial" w:eastAsia="宋体"/>
                <w:sz w:val="24"/>
                <w:vertAlign w:val="baseline"/>
                <w:lang w:val="en-US" w:eastAsia="zh-CN"/>
              </w:rPr>
              <w:t>研究总院</w:t>
            </w:r>
          </w:p>
        </w:tc>
        <w:tc>
          <w:tcPr>
            <w:tcW w:w="2134" w:type="dxa"/>
            <w:vAlign w:val="center"/>
          </w:tcPr>
          <w:p w14:paraId="14822B2C">
            <w:pPr>
              <w:pStyle w:val="29"/>
              <w:widowControl w:val="0"/>
              <w:snapToGrid w:val="0"/>
              <w:spacing w:line="240" w:lineRule="auto"/>
              <w:ind w:left="0" w:leftChars="0" w:right="0" w:rightChars="0" w:firstLine="0" w:firstLineChars="0"/>
              <w:jc w:val="center"/>
              <w:rPr>
                <w:rFonts w:hint="default" w:ascii="Arial" w:eastAsia="宋体"/>
                <w:sz w:val="24"/>
                <w:vertAlign w:val="baseline"/>
                <w:lang w:val="en-US" w:eastAsia="zh-CN"/>
              </w:rPr>
            </w:pPr>
            <w:r>
              <w:rPr>
                <w:rFonts w:hint="eastAsia" w:ascii="Arial" w:eastAsia="宋体"/>
                <w:sz w:val="24"/>
                <w:vertAlign w:val="baseline"/>
                <w:lang w:val="en-US" w:eastAsia="zh-CN"/>
              </w:rPr>
              <w:t>开发工程师</w:t>
            </w:r>
          </w:p>
        </w:tc>
        <w:tc>
          <w:tcPr>
            <w:tcW w:w="1520" w:type="dxa"/>
            <w:vAlign w:val="center"/>
          </w:tcPr>
          <w:p w14:paraId="4D6FFA43">
            <w:pPr>
              <w:pStyle w:val="29"/>
              <w:widowControl w:val="0"/>
              <w:snapToGrid w:val="0"/>
              <w:spacing w:line="240" w:lineRule="auto"/>
              <w:ind w:left="0" w:leftChars="0" w:right="0" w:rightChars="0" w:firstLine="0" w:firstLineChars="0"/>
              <w:jc w:val="center"/>
              <w:rPr>
                <w:rFonts w:hint="default" w:ascii="Arial" w:eastAsia="宋体"/>
                <w:sz w:val="24"/>
                <w:vertAlign w:val="baseline"/>
                <w:lang w:val="en-US" w:eastAsia="zh-CN"/>
              </w:rPr>
            </w:pPr>
            <w:r>
              <w:rPr>
                <w:rFonts w:hint="eastAsia" w:ascii="Arial" w:eastAsia="宋体"/>
                <w:sz w:val="24"/>
                <w:vertAlign w:val="baseline"/>
                <w:lang w:val="en-US" w:eastAsia="zh-CN"/>
              </w:rPr>
              <w:t>1人</w:t>
            </w:r>
          </w:p>
        </w:tc>
        <w:tc>
          <w:tcPr>
            <w:tcW w:w="2142" w:type="dxa"/>
            <w:vAlign w:val="center"/>
          </w:tcPr>
          <w:p w14:paraId="680704C5">
            <w:pPr>
              <w:pStyle w:val="29"/>
              <w:widowControl w:val="0"/>
              <w:snapToGrid w:val="0"/>
              <w:spacing w:line="240" w:lineRule="auto"/>
              <w:ind w:left="0" w:leftChars="0" w:right="0" w:rightChars="0" w:firstLine="0" w:firstLineChars="0"/>
              <w:jc w:val="center"/>
              <w:rPr>
                <w:rFonts w:hint="eastAsia" w:ascii="Arial" w:eastAsia="宋体"/>
                <w:sz w:val="24"/>
                <w:vertAlign w:val="baseline"/>
                <w:lang w:val="en-US" w:eastAsia="zh-CN"/>
              </w:rPr>
            </w:pPr>
            <w:r>
              <w:rPr>
                <w:rFonts w:hint="eastAsia" w:ascii="Arial" w:eastAsia="宋体"/>
                <w:sz w:val="24"/>
                <w:vertAlign w:val="baseline"/>
                <w:lang w:val="en-US" w:eastAsia="zh-CN"/>
              </w:rPr>
              <w:t>2025年3月</w:t>
            </w:r>
          </w:p>
        </w:tc>
      </w:tr>
      <w:tr w14:paraId="0CFF0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485A0483">
            <w:pPr>
              <w:pStyle w:val="29"/>
              <w:widowControl w:val="0"/>
              <w:numPr>
                <w:ilvl w:val="0"/>
                <w:numId w:val="6"/>
              </w:numPr>
              <w:snapToGrid w:val="0"/>
              <w:spacing w:line="240" w:lineRule="auto"/>
              <w:ind w:left="0" w:leftChars="0" w:right="0" w:rightChars="0" w:firstLine="0" w:firstLineChars="0"/>
              <w:jc w:val="left"/>
              <w:rPr>
                <w:rFonts w:hint="eastAsia" w:ascii="Arial" w:eastAsia="宋体"/>
                <w:sz w:val="24"/>
                <w:vertAlign w:val="baseline"/>
                <w:lang w:val="en-US" w:eastAsia="zh-CN"/>
              </w:rPr>
            </w:pPr>
          </w:p>
        </w:tc>
        <w:tc>
          <w:tcPr>
            <w:tcW w:w="1825" w:type="dxa"/>
            <w:shd w:val="clear" w:color="auto" w:fill="auto"/>
            <w:vAlign w:val="center"/>
          </w:tcPr>
          <w:p w14:paraId="642C5479">
            <w:pPr>
              <w:pStyle w:val="29"/>
              <w:widowControl w:val="0"/>
              <w:snapToGrid w:val="0"/>
              <w:spacing w:line="240" w:lineRule="auto"/>
              <w:ind w:left="0" w:leftChars="0" w:right="0" w:rightChars="0" w:firstLine="0" w:firstLineChars="0"/>
              <w:jc w:val="left"/>
              <w:rPr>
                <w:rFonts w:hint="default" w:ascii="Arial" w:eastAsia="宋体"/>
                <w:sz w:val="24"/>
                <w:vertAlign w:val="baseline"/>
                <w:lang w:val="en-US" w:eastAsia="zh-CN"/>
              </w:rPr>
            </w:pPr>
            <w:r>
              <w:rPr>
                <w:rFonts w:hint="default" w:ascii="Arial" w:eastAsia="宋体"/>
                <w:sz w:val="24"/>
                <w:vertAlign w:val="baseline"/>
                <w:lang w:val="en-US" w:eastAsia="zh-CN"/>
              </w:rPr>
              <w:t>服务台</w:t>
            </w:r>
          </w:p>
        </w:tc>
        <w:tc>
          <w:tcPr>
            <w:tcW w:w="2134" w:type="dxa"/>
            <w:shd w:val="clear" w:color="auto" w:fill="auto"/>
            <w:vAlign w:val="center"/>
          </w:tcPr>
          <w:p w14:paraId="1EAB88C1">
            <w:pPr>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default" w:ascii="Arial" w:eastAsia="宋体"/>
                <w:sz w:val="24"/>
                <w:lang w:val="en-US" w:eastAsia="zh-CN"/>
              </w:rPr>
              <w:t>服务台专员</w:t>
            </w:r>
          </w:p>
        </w:tc>
        <w:tc>
          <w:tcPr>
            <w:tcW w:w="1520" w:type="dxa"/>
            <w:vAlign w:val="center"/>
          </w:tcPr>
          <w:p w14:paraId="7D65ACB2">
            <w:pPr>
              <w:pStyle w:val="29"/>
              <w:widowControl w:val="0"/>
              <w:snapToGrid w:val="0"/>
              <w:spacing w:line="240" w:lineRule="auto"/>
              <w:ind w:left="0" w:leftChars="0" w:right="0" w:rightChars="0" w:firstLine="0" w:firstLineChars="0"/>
              <w:jc w:val="center"/>
              <w:rPr>
                <w:rFonts w:hint="eastAsia" w:ascii="Arial" w:eastAsia="宋体"/>
                <w:sz w:val="24"/>
                <w:vertAlign w:val="baseline"/>
                <w:lang w:val="en-US" w:eastAsia="zh-CN"/>
              </w:rPr>
            </w:pPr>
            <w:r>
              <w:rPr>
                <w:rFonts w:hint="eastAsia" w:ascii="Arial" w:eastAsia="宋体"/>
                <w:sz w:val="24"/>
                <w:vertAlign w:val="baseline"/>
                <w:lang w:val="en-US" w:eastAsia="zh-CN"/>
              </w:rPr>
              <w:t>2人</w:t>
            </w:r>
          </w:p>
        </w:tc>
        <w:tc>
          <w:tcPr>
            <w:tcW w:w="2142" w:type="dxa"/>
            <w:vAlign w:val="center"/>
          </w:tcPr>
          <w:p w14:paraId="770C76F1">
            <w:pPr>
              <w:pStyle w:val="29"/>
              <w:widowControl w:val="0"/>
              <w:snapToGrid w:val="0"/>
              <w:spacing w:line="240" w:lineRule="auto"/>
              <w:ind w:left="0" w:leftChars="0" w:right="0" w:rightChars="0" w:firstLine="0" w:firstLineChars="0"/>
              <w:jc w:val="center"/>
              <w:rPr>
                <w:rFonts w:hint="eastAsia" w:ascii="Arial" w:eastAsia="宋体"/>
                <w:sz w:val="24"/>
                <w:vertAlign w:val="baseline"/>
                <w:lang w:val="en-US" w:eastAsia="zh-CN"/>
              </w:rPr>
            </w:pPr>
            <w:r>
              <w:rPr>
                <w:rFonts w:hint="eastAsia" w:ascii="Arial" w:eastAsia="宋体"/>
                <w:sz w:val="24"/>
                <w:vertAlign w:val="baseline"/>
                <w:lang w:val="en-US" w:eastAsia="zh-CN"/>
              </w:rPr>
              <w:t>2025年4月</w:t>
            </w:r>
          </w:p>
        </w:tc>
      </w:tr>
      <w:tr w14:paraId="2757D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2B03280C">
            <w:pPr>
              <w:pStyle w:val="29"/>
              <w:widowControl w:val="0"/>
              <w:numPr>
                <w:ilvl w:val="0"/>
                <w:numId w:val="6"/>
              </w:numPr>
              <w:snapToGrid w:val="0"/>
              <w:spacing w:line="240" w:lineRule="auto"/>
              <w:ind w:left="0" w:leftChars="0" w:right="0" w:rightChars="0" w:firstLine="0" w:firstLineChars="0"/>
              <w:jc w:val="left"/>
              <w:rPr>
                <w:rFonts w:hint="eastAsia" w:ascii="Arial" w:eastAsia="宋体"/>
                <w:sz w:val="24"/>
                <w:vertAlign w:val="baseline"/>
                <w:lang w:val="en-US" w:eastAsia="zh-CN"/>
              </w:rPr>
            </w:pPr>
          </w:p>
        </w:tc>
        <w:tc>
          <w:tcPr>
            <w:tcW w:w="1825" w:type="dxa"/>
            <w:shd w:val="clear" w:color="auto" w:fill="auto"/>
            <w:vAlign w:val="center"/>
          </w:tcPr>
          <w:p w14:paraId="56B8504E">
            <w:pPr>
              <w:pStyle w:val="29"/>
              <w:widowControl w:val="0"/>
              <w:snapToGrid w:val="0"/>
              <w:spacing w:line="240" w:lineRule="auto"/>
              <w:ind w:left="0" w:leftChars="0" w:right="0" w:rightChars="0" w:firstLine="0" w:firstLineChars="0"/>
              <w:jc w:val="left"/>
              <w:rPr>
                <w:rFonts w:hint="eastAsia" w:ascii="Arial" w:eastAsia="宋体"/>
                <w:sz w:val="24"/>
                <w:vertAlign w:val="baseline"/>
                <w:lang w:val="en-US" w:eastAsia="zh-CN"/>
              </w:rPr>
            </w:pPr>
            <w:r>
              <w:rPr>
                <w:rFonts w:hint="eastAsia" w:ascii="Arial" w:eastAsia="宋体"/>
                <w:sz w:val="24"/>
                <w:vertAlign w:val="baseline"/>
                <w:lang w:val="en-US" w:eastAsia="zh-CN"/>
              </w:rPr>
              <w:t>数智运营部</w:t>
            </w:r>
          </w:p>
        </w:tc>
        <w:tc>
          <w:tcPr>
            <w:tcW w:w="2134" w:type="dxa"/>
            <w:shd w:val="clear" w:color="auto" w:fill="auto"/>
            <w:vAlign w:val="center"/>
          </w:tcPr>
          <w:p w14:paraId="0FD5FC2D">
            <w:pPr>
              <w:pStyle w:val="29"/>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运维工程师</w:t>
            </w:r>
          </w:p>
        </w:tc>
        <w:tc>
          <w:tcPr>
            <w:tcW w:w="1520" w:type="dxa"/>
            <w:shd w:val="clear" w:color="auto" w:fill="auto"/>
            <w:vAlign w:val="center"/>
          </w:tcPr>
          <w:p w14:paraId="4FE7EC8C">
            <w:pPr>
              <w:pStyle w:val="29"/>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3人</w:t>
            </w:r>
          </w:p>
        </w:tc>
        <w:tc>
          <w:tcPr>
            <w:tcW w:w="2142" w:type="dxa"/>
            <w:vAlign w:val="center"/>
          </w:tcPr>
          <w:p w14:paraId="5DC55F25">
            <w:pPr>
              <w:pStyle w:val="29"/>
              <w:widowControl w:val="0"/>
              <w:snapToGrid w:val="0"/>
              <w:spacing w:line="240" w:lineRule="auto"/>
              <w:ind w:left="0" w:leftChars="0" w:right="0" w:rightChars="0" w:firstLine="0" w:firstLineChars="0"/>
              <w:jc w:val="center"/>
              <w:rPr>
                <w:rFonts w:hint="eastAsia" w:ascii="Arial" w:eastAsia="宋体"/>
                <w:sz w:val="24"/>
                <w:vertAlign w:val="baseline"/>
                <w:lang w:val="en-US" w:eastAsia="zh-CN"/>
              </w:rPr>
            </w:pPr>
            <w:r>
              <w:rPr>
                <w:rFonts w:hint="eastAsia" w:ascii="Arial" w:eastAsia="宋体"/>
                <w:sz w:val="24"/>
                <w:vertAlign w:val="baseline"/>
                <w:lang w:val="en-US" w:eastAsia="zh-CN"/>
              </w:rPr>
              <w:t>2025年5月</w:t>
            </w:r>
          </w:p>
        </w:tc>
      </w:tr>
      <w:tr w14:paraId="073D3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0738C104">
            <w:pPr>
              <w:pStyle w:val="29"/>
              <w:widowControl w:val="0"/>
              <w:numPr>
                <w:ilvl w:val="0"/>
                <w:numId w:val="6"/>
              </w:numPr>
              <w:snapToGrid w:val="0"/>
              <w:spacing w:line="240" w:lineRule="auto"/>
              <w:ind w:left="0" w:leftChars="0" w:right="0" w:rightChars="0" w:firstLine="0" w:firstLineChars="0"/>
              <w:jc w:val="left"/>
              <w:rPr>
                <w:rFonts w:hint="eastAsia" w:ascii="Arial" w:eastAsia="宋体"/>
                <w:sz w:val="24"/>
                <w:vertAlign w:val="baseline"/>
                <w:lang w:val="en-US" w:eastAsia="zh-CN"/>
              </w:rPr>
            </w:pPr>
          </w:p>
        </w:tc>
        <w:tc>
          <w:tcPr>
            <w:tcW w:w="1825" w:type="dxa"/>
            <w:shd w:val="clear" w:color="auto" w:fill="auto"/>
            <w:vAlign w:val="center"/>
          </w:tcPr>
          <w:p w14:paraId="3752AC34">
            <w:pPr>
              <w:pStyle w:val="29"/>
              <w:widowControl w:val="0"/>
              <w:snapToGrid w:val="0"/>
              <w:spacing w:line="240" w:lineRule="auto"/>
              <w:ind w:left="0" w:leftChars="0" w:right="0" w:rightChars="0" w:firstLine="0" w:firstLineChars="0"/>
              <w:jc w:val="left"/>
              <w:rPr>
                <w:rFonts w:hint="eastAsia" w:ascii="Arial" w:eastAsia="宋体"/>
                <w:sz w:val="24"/>
                <w:vertAlign w:val="baseline"/>
                <w:lang w:val="en-US" w:eastAsia="zh-CN"/>
              </w:rPr>
            </w:pPr>
            <w:r>
              <w:rPr>
                <w:rFonts w:hint="eastAsia" w:ascii="Arial" w:eastAsia="宋体"/>
                <w:sz w:val="24"/>
                <w:vertAlign w:val="baseline"/>
                <w:lang w:val="en-US" w:eastAsia="zh-CN"/>
              </w:rPr>
              <w:t>数智运营部</w:t>
            </w:r>
          </w:p>
        </w:tc>
        <w:tc>
          <w:tcPr>
            <w:tcW w:w="2134" w:type="dxa"/>
            <w:shd w:val="clear" w:color="auto" w:fill="auto"/>
            <w:vAlign w:val="center"/>
          </w:tcPr>
          <w:p w14:paraId="4BAE22A6">
            <w:pPr>
              <w:pStyle w:val="29"/>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运维工程师</w:t>
            </w:r>
          </w:p>
        </w:tc>
        <w:tc>
          <w:tcPr>
            <w:tcW w:w="1520" w:type="dxa"/>
            <w:shd w:val="clear" w:color="auto" w:fill="auto"/>
            <w:vAlign w:val="center"/>
          </w:tcPr>
          <w:p w14:paraId="4F056B77">
            <w:pPr>
              <w:pStyle w:val="29"/>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1人</w:t>
            </w:r>
          </w:p>
        </w:tc>
        <w:tc>
          <w:tcPr>
            <w:tcW w:w="2142" w:type="dxa"/>
            <w:vMerge w:val="restart"/>
            <w:vAlign w:val="center"/>
          </w:tcPr>
          <w:p w14:paraId="49B17E6A">
            <w:pPr>
              <w:pStyle w:val="29"/>
              <w:widowControl w:val="0"/>
              <w:snapToGrid w:val="0"/>
              <w:spacing w:line="240" w:lineRule="auto"/>
              <w:ind w:left="0" w:leftChars="0" w:right="0" w:rightChars="0" w:firstLine="0" w:firstLineChars="0"/>
              <w:jc w:val="center"/>
              <w:rPr>
                <w:rFonts w:hint="eastAsia" w:ascii="Arial" w:eastAsia="宋体"/>
                <w:sz w:val="24"/>
                <w:vertAlign w:val="baseline"/>
                <w:lang w:val="en-US" w:eastAsia="zh-CN"/>
              </w:rPr>
            </w:pPr>
            <w:r>
              <w:rPr>
                <w:rFonts w:hint="eastAsia" w:ascii="Arial" w:eastAsia="宋体"/>
                <w:sz w:val="24"/>
                <w:vertAlign w:val="baseline"/>
                <w:lang w:val="en-US" w:eastAsia="zh-CN"/>
              </w:rPr>
              <w:t>2025年6月</w:t>
            </w:r>
          </w:p>
        </w:tc>
      </w:tr>
      <w:tr w14:paraId="6597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59F69CAB">
            <w:pPr>
              <w:pStyle w:val="29"/>
              <w:widowControl w:val="0"/>
              <w:numPr>
                <w:ilvl w:val="0"/>
                <w:numId w:val="6"/>
              </w:numPr>
              <w:snapToGrid w:val="0"/>
              <w:spacing w:line="240" w:lineRule="auto"/>
              <w:ind w:left="0" w:leftChars="0" w:right="0" w:rightChars="0" w:firstLine="0" w:firstLineChars="0"/>
              <w:jc w:val="left"/>
              <w:rPr>
                <w:rFonts w:hint="eastAsia" w:ascii="Arial" w:eastAsia="宋体"/>
                <w:sz w:val="24"/>
                <w:vertAlign w:val="baseline"/>
                <w:lang w:val="en-US" w:eastAsia="zh-CN"/>
              </w:rPr>
            </w:pPr>
          </w:p>
        </w:tc>
        <w:tc>
          <w:tcPr>
            <w:tcW w:w="1825" w:type="dxa"/>
            <w:shd w:val="clear" w:color="auto" w:fill="auto"/>
            <w:vAlign w:val="center"/>
          </w:tcPr>
          <w:p w14:paraId="4782CC37">
            <w:pPr>
              <w:pStyle w:val="29"/>
              <w:widowControl w:val="0"/>
              <w:snapToGrid w:val="0"/>
              <w:spacing w:line="240" w:lineRule="auto"/>
              <w:ind w:left="0" w:leftChars="0" w:right="0" w:rightChars="0" w:firstLine="0" w:firstLineChars="0"/>
              <w:jc w:val="left"/>
              <w:rPr>
                <w:rFonts w:hint="eastAsia" w:ascii="Arial" w:eastAsia="宋体"/>
                <w:sz w:val="24"/>
                <w:vertAlign w:val="baseline"/>
                <w:lang w:val="en-US" w:eastAsia="zh-CN"/>
              </w:rPr>
            </w:pPr>
            <w:r>
              <w:rPr>
                <w:rFonts w:hint="eastAsia" w:ascii="Arial" w:eastAsia="宋体"/>
                <w:sz w:val="24"/>
                <w:vertAlign w:val="baseline"/>
                <w:lang w:val="en-US" w:eastAsia="zh-CN"/>
              </w:rPr>
              <w:t>研究总院</w:t>
            </w:r>
          </w:p>
        </w:tc>
        <w:tc>
          <w:tcPr>
            <w:tcW w:w="2134" w:type="dxa"/>
            <w:shd w:val="clear" w:color="auto" w:fill="auto"/>
            <w:vAlign w:val="center"/>
          </w:tcPr>
          <w:p w14:paraId="64B00111">
            <w:pPr>
              <w:pStyle w:val="29"/>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测试工程师</w:t>
            </w:r>
          </w:p>
        </w:tc>
        <w:tc>
          <w:tcPr>
            <w:tcW w:w="1520" w:type="dxa"/>
            <w:shd w:val="clear" w:color="auto" w:fill="auto"/>
            <w:vAlign w:val="center"/>
          </w:tcPr>
          <w:p w14:paraId="63CB6799">
            <w:pPr>
              <w:pStyle w:val="29"/>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1人</w:t>
            </w:r>
          </w:p>
        </w:tc>
        <w:tc>
          <w:tcPr>
            <w:tcW w:w="2142" w:type="dxa"/>
            <w:vMerge w:val="continue"/>
            <w:vAlign w:val="center"/>
          </w:tcPr>
          <w:p w14:paraId="105B841B">
            <w:pPr>
              <w:pStyle w:val="29"/>
              <w:widowControl w:val="0"/>
              <w:snapToGrid w:val="0"/>
              <w:spacing w:line="240" w:lineRule="auto"/>
              <w:ind w:left="0" w:leftChars="0" w:right="0" w:rightChars="0" w:firstLine="0" w:firstLineChars="0"/>
              <w:jc w:val="center"/>
              <w:rPr>
                <w:rFonts w:hint="eastAsia" w:ascii="Arial" w:eastAsia="宋体"/>
                <w:sz w:val="24"/>
                <w:vertAlign w:val="baseline"/>
                <w:lang w:val="en-US" w:eastAsia="zh-CN"/>
              </w:rPr>
            </w:pPr>
          </w:p>
        </w:tc>
      </w:tr>
      <w:tr w14:paraId="4A5D6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0B1BDE46">
            <w:pPr>
              <w:pStyle w:val="29"/>
              <w:widowControl w:val="0"/>
              <w:numPr>
                <w:ilvl w:val="0"/>
                <w:numId w:val="6"/>
              </w:numPr>
              <w:snapToGrid w:val="0"/>
              <w:spacing w:line="240" w:lineRule="auto"/>
              <w:ind w:left="0" w:leftChars="0" w:right="0" w:rightChars="0" w:firstLine="0" w:firstLineChars="0"/>
              <w:jc w:val="left"/>
              <w:rPr>
                <w:rFonts w:hint="eastAsia" w:ascii="Arial" w:eastAsia="宋体"/>
                <w:sz w:val="24"/>
                <w:vertAlign w:val="baseline"/>
                <w:lang w:val="en-US" w:eastAsia="zh-CN"/>
              </w:rPr>
            </w:pPr>
          </w:p>
        </w:tc>
        <w:tc>
          <w:tcPr>
            <w:tcW w:w="1825" w:type="dxa"/>
            <w:shd w:val="clear" w:color="auto" w:fill="auto"/>
            <w:vAlign w:val="center"/>
          </w:tcPr>
          <w:p w14:paraId="7EE79D77">
            <w:pPr>
              <w:pStyle w:val="29"/>
              <w:widowControl w:val="0"/>
              <w:snapToGrid w:val="0"/>
              <w:spacing w:line="240" w:lineRule="auto"/>
              <w:ind w:left="0" w:leftChars="0" w:right="0" w:rightChars="0" w:firstLine="0" w:firstLineChars="0"/>
              <w:jc w:val="left"/>
              <w:rPr>
                <w:rFonts w:hint="eastAsia" w:ascii="Arial" w:eastAsia="宋体"/>
                <w:sz w:val="24"/>
                <w:vertAlign w:val="baseline"/>
                <w:lang w:val="en-US" w:eastAsia="zh-CN"/>
              </w:rPr>
            </w:pPr>
            <w:r>
              <w:rPr>
                <w:rFonts w:hint="eastAsia" w:ascii="Arial" w:eastAsia="宋体"/>
                <w:sz w:val="24"/>
                <w:vertAlign w:val="baseline"/>
                <w:lang w:val="en-US" w:eastAsia="zh-CN"/>
              </w:rPr>
              <w:t>数智运营部</w:t>
            </w:r>
          </w:p>
        </w:tc>
        <w:tc>
          <w:tcPr>
            <w:tcW w:w="2134" w:type="dxa"/>
            <w:shd w:val="clear" w:color="auto" w:fill="auto"/>
            <w:vAlign w:val="center"/>
          </w:tcPr>
          <w:p w14:paraId="76EBD8A1">
            <w:pPr>
              <w:pStyle w:val="29"/>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运维工程师</w:t>
            </w:r>
          </w:p>
        </w:tc>
        <w:tc>
          <w:tcPr>
            <w:tcW w:w="1520" w:type="dxa"/>
            <w:shd w:val="clear" w:color="auto" w:fill="auto"/>
            <w:vAlign w:val="center"/>
          </w:tcPr>
          <w:p w14:paraId="47A20152">
            <w:pPr>
              <w:pStyle w:val="29"/>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1人</w:t>
            </w:r>
          </w:p>
        </w:tc>
        <w:tc>
          <w:tcPr>
            <w:tcW w:w="2142" w:type="dxa"/>
            <w:vAlign w:val="center"/>
          </w:tcPr>
          <w:p w14:paraId="3C881226">
            <w:pPr>
              <w:pStyle w:val="29"/>
              <w:widowControl w:val="0"/>
              <w:snapToGrid w:val="0"/>
              <w:spacing w:line="240" w:lineRule="auto"/>
              <w:ind w:left="0" w:leftChars="0" w:right="0" w:rightChars="0" w:firstLine="0" w:firstLineChars="0"/>
              <w:jc w:val="center"/>
              <w:rPr>
                <w:rFonts w:hint="eastAsia" w:ascii="Arial" w:eastAsia="宋体"/>
                <w:sz w:val="24"/>
                <w:vertAlign w:val="baseline"/>
                <w:lang w:val="en-US" w:eastAsia="zh-CN"/>
              </w:rPr>
            </w:pPr>
            <w:r>
              <w:rPr>
                <w:rFonts w:hint="eastAsia" w:ascii="Arial" w:eastAsia="宋体"/>
                <w:sz w:val="24"/>
                <w:vertAlign w:val="baseline"/>
                <w:lang w:val="en-US" w:eastAsia="zh-CN"/>
              </w:rPr>
              <w:t>2025年7月</w:t>
            </w:r>
          </w:p>
        </w:tc>
      </w:tr>
      <w:tr w14:paraId="383BC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2D893F8A">
            <w:pPr>
              <w:pStyle w:val="29"/>
              <w:widowControl w:val="0"/>
              <w:numPr>
                <w:ilvl w:val="0"/>
                <w:numId w:val="6"/>
              </w:numPr>
              <w:snapToGrid w:val="0"/>
              <w:spacing w:line="240" w:lineRule="auto"/>
              <w:ind w:left="0" w:leftChars="0" w:right="0" w:rightChars="0" w:firstLine="0" w:firstLineChars="0"/>
              <w:jc w:val="left"/>
              <w:rPr>
                <w:rFonts w:hint="eastAsia" w:ascii="Arial" w:eastAsia="宋体"/>
                <w:sz w:val="24"/>
                <w:vertAlign w:val="baseline"/>
                <w:lang w:val="en-US" w:eastAsia="zh-CN"/>
              </w:rPr>
            </w:pPr>
          </w:p>
        </w:tc>
        <w:tc>
          <w:tcPr>
            <w:tcW w:w="1825" w:type="dxa"/>
            <w:shd w:val="clear" w:color="auto" w:fill="auto"/>
            <w:vAlign w:val="center"/>
          </w:tcPr>
          <w:p w14:paraId="724C3B7B">
            <w:pPr>
              <w:pStyle w:val="29"/>
              <w:widowControl w:val="0"/>
              <w:snapToGrid w:val="0"/>
              <w:spacing w:line="240" w:lineRule="auto"/>
              <w:ind w:left="0" w:leftChars="0" w:right="0" w:rightChars="0" w:firstLine="0" w:firstLineChars="0"/>
              <w:jc w:val="left"/>
              <w:rPr>
                <w:rFonts w:hint="eastAsia" w:ascii="Arial" w:eastAsia="宋体"/>
                <w:sz w:val="24"/>
                <w:vertAlign w:val="baseline"/>
                <w:lang w:val="en-US" w:eastAsia="zh-CN"/>
              </w:rPr>
            </w:pPr>
            <w:r>
              <w:rPr>
                <w:rFonts w:hint="eastAsia" w:ascii="Arial" w:eastAsia="宋体"/>
                <w:sz w:val="24"/>
                <w:vertAlign w:val="baseline"/>
                <w:lang w:val="en-US" w:eastAsia="zh-CN"/>
              </w:rPr>
              <w:t>服务知识</w:t>
            </w:r>
          </w:p>
        </w:tc>
        <w:tc>
          <w:tcPr>
            <w:tcW w:w="2134" w:type="dxa"/>
            <w:shd w:val="clear" w:color="auto" w:fill="auto"/>
            <w:vAlign w:val="center"/>
          </w:tcPr>
          <w:p w14:paraId="3219C628">
            <w:pPr>
              <w:pStyle w:val="29"/>
              <w:widowControl w:val="0"/>
              <w:snapToGrid w:val="0"/>
              <w:spacing w:line="240" w:lineRule="auto"/>
              <w:ind w:left="0" w:leftChars="0" w:right="0" w:rightChars="0" w:firstLine="0" w:firstLineChars="0"/>
              <w:jc w:val="center"/>
              <w:rPr>
                <w:rFonts w:hint="eastAsia" w:ascii="Arial" w:eastAsia="宋体"/>
                <w:sz w:val="24"/>
                <w:vertAlign w:val="baseline"/>
                <w:lang w:val="en-US" w:eastAsia="zh-CN"/>
              </w:rPr>
            </w:pPr>
            <w:r>
              <w:rPr>
                <w:rFonts w:hint="eastAsia" w:ascii="Arial" w:eastAsia="宋体"/>
                <w:sz w:val="24"/>
                <w:vertAlign w:val="baseline"/>
                <w:lang w:val="en-US" w:eastAsia="zh-CN"/>
              </w:rPr>
              <w:t>服务知识专员</w:t>
            </w:r>
          </w:p>
        </w:tc>
        <w:tc>
          <w:tcPr>
            <w:tcW w:w="1520" w:type="dxa"/>
            <w:shd w:val="clear" w:color="auto" w:fill="auto"/>
            <w:vAlign w:val="center"/>
          </w:tcPr>
          <w:p w14:paraId="445427EB">
            <w:pPr>
              <w:pStyle w:val="29"/>
              <w:widowControl w:val="0"/>
              <w:snapToGrid w:val="0"/>
              <w:spacing w:line="240" w:lineRule="auto"/>
              <w:ind w:left="0" w:leftChars="0" w:right="0" w:rightChars="0" w:firstLine="0" w:firstLineChars="0"/>
              <w:jc w:val="center"/>
              <w:rPr>
                <w:rFonts w:hint="default" w:ascii="Arial" w:eastAsia="宋体"/>
                <w:sz w:val="24"/>
                <w:vertAlign w:val="baseline"/>
                <w:lang w:val="en-US" w:eastAsia="zh-CN"/>
              </w:rPr>
            </w:pPr>
            <w:r>
              <w:rPr>
                <w:rFonts w:hint="eastAsia" w:ascii="Arial" w:eastAsia="宋体"/>
                <w:sz w:val="24"/>
                <w:vertAlign w:val="baseline"/>
                <w:lang w:val="en-US" w:eastAsia="zh-CN"/>
              </w:rPr>
              <w:t>1人</w:t>
            </w:r>
          </w:p>
        </w:tc>
        <w:tc>
          <w:tcPr>
            <w:tcW w:w="2142" w:type="dxa"/>
            <w:shd w:val="clear" w:color="auto" w:fill="auto"/>
            <w:vAlign w:val="center"/>
          </w:tcPr>
          <w:p w14:paraId="6FB04E86">
            <w:pPr>
              <w:widowControl w:val="0"/>
              <w:snapToGrid w:val="0"/>
              <w:spacing w:line="240" w:lineRule="auto"/>
              <w:ind w:left="0" w:leftChars="0" w:right="0" w:rightChars="0" w:firstLine="0" w:firstLineChars="0"/>
              <w:jc w:val="center"/>
              <w:rPr>
                <w:rFonts w:hint="eastAsia" w:ascii="Arial" w:hAnsi="Arial" w:eastAsia="宋体" w:cs="Arial"/>
                <w:snapToGrid w:val="0"/>
                <w:color w:val="000000"/>
                <w:kern w:val="0"/>
                <w:sz w:val="24"/>
                <w:szCs w:val="21"/>
                <w:lang w:val="en-US" w:eastAsia="zh-CN" w:bidi="ar-SA"/>
              </w:rPr>
            </w:pPr>
            <w:r>
              <w:rPr>
                <w:rFonts w:hint="eastAsia" w:ascii="Arial" w:eastAsia="宋体"/>
                <w:sz w:val="24"/>
                <w:lang w:val="en-US" w:eastAsia="zh-CN"/>
              </w:rPr>
              <w:t>2025年8月</w:t>
            </w:r>
          </w:p>
        </w:tc>
      </w:tr>
    </w:tbl>
    <w:p w14:paraId="44C8B410">
      <w:pPr>
        <w:pStyle w:val="31"/>
        <w:bidi w:val="0"/>
        <w:rPr>
          <w:rFonts w:hint="default"/>
          <w:lang w:val="en-US" w:eastAsia="zh-CN"/>
        </w:rPr>
      </w:pPr>
      <w:bookmarkStart w:id="19" w:name="_Toc23568"/>
      <w:r>
        <w:rPr>
          <w:rFonts w:hint="eastAsia"/>
          <w:lang w:val="en-US" w:eastAsia="zh-CN"/>
        </w:rPr>
        <w:t>人员备份管理计划</w:t>
      </w:r>
      <w:bookmarkEnd w:id="19"/>
    </w:p>
    <w:p w14:paraId="6522F4E4">
      <w:pPr>
        <w:pStyle w:val="29"/>
        <w:bidi w:val="0"/>
      </w:pPr>
      <w:r>
        <w:rPr>
          <w:rFonts w:hint="default"/>
        </w:rPr>
        <w:t>为确保在面临突发性人员缺席（如休假、离职或病假）时仍能维持业务连续运转，特制定本备份管理计划。本计划聚焦于降低因短期人员缺口导致的运营中断风险，通过提前规划与部署岗位备份人员，保障业务在紧急情况下的无缝衔接与平稳过渡，属于公司业务连续性管理体系的重要组成部分。</w:t>
      </w:r>
    </w:p>
    <w:p w14:paraId="41C5600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-人员备份计划表</w:t>
      </w:r>
    </w:p>
    <w:tbl>
      <w:tblPr>
        <w:tblStyle w:val="20"/>
        <w:tblW w:w="85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69"/>
        <w:gridCol w:w="1077"/>
        <w:gridCol w:w="1018"/>
        <w:gridCol w:w="3087"/>
        <w:gridCol w:w="1105"/>
        <w:gridCol w:w="807"/>
        <w:gridCol w:w="858"/>
      </w:tblGrid>
      <w:tr w14:paraId="0FA6D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blHeader/>
          <w:jc w:val="center"/>
        </w:trPr>
        <w:tc>
          <w:tcPr>
            <w:tcW w:w="569"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8700591">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序号</w:t>
            </w:r>
          </w:p>
        </w:tc>
        <w:tc>
          <w:tcPr>
            <w:tcW w:w="107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471C1F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备份岗位名称</w:t>
            </w:r>
          </w:p>
        </w:tc>
        <w:tc>
          <w:tcPr>
            <w:tcW w:w="1018"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3BB654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所属部门</w:t>
            </w:r>
          </w:p>
        </w:tc>
        <w:tc>
          <w:tcPr>
            <w:tcW w:w="308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EAE25D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lang w:val="en-US" w:eastAsia="zh-CN"/>
              </w:rPr>
            </w:pPr>
            <w:r>
              <w:rPr>
                <w:rFonts w:hint="eastAsia" w:ascii="Segoe UI" w:hAnsi="Segoe UI" w:eastAsia="Segoe UI" w:cs="Segoe UI"/>
                <w:b/>
                <w:i w:val="0"/>
                <w:iCs w:val="0"/>
                <w:caps w:val="0"/>
                <w:color w:val="0F1115"/>
                <w:spacing w:val="0"/>
                <w:sz w:val="18"/>
                <w:szCs w:val="18"/>
                <w:lang w:val="en-US" w:eastAsia="zh-CN"/>
              </w:rPr>
              <w:t>主要工作内容</w:t>
            </w:r>
          </w:p>
        </w:tc>
        <w:tc>
          <w:tcPr>
            <w:tcW w:w="1105"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A7D4F4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snapToGrid w:val="0"/>
                <w:color w:val="000000"/>
                <w:spacing w:val="0"/>
                <w:kern w:val="0"/>
                <w:sz w:val="18"/>
                <w:szCs w:val="18"/>
                <w:lang w:val="en-US" w:eastAsia="zh-CN"/>
              </w:rPr>
            </w:pPr>
            <w:r>
              <w:rPr>
                <w:rFonts w:hint="eastAsia" w:ascii="Segoe UI" w:hAnsi="Segoe UI" w:eastAsia="Segoe UI" w:cs="Segoe UI"/>
                <w:b/>
                <w:i w:val="0"/>
                <w:iCs w:val="0"/>
                <w:caps w:val="0"/>
                <w:snapToGrid w:val="0"/>
                <w:color w:val="000000"/>
                <w:spacing w:val="0"/>
                <w:kern w:val="0"/>
                <w:sz w:val="18"/>
                <w:szCs w:val="18"/>
                <w:lang w:val="en-US" w:eastAsia="zh-CN"/>
              </w:rPr>
              <w:t>备份岗</w:t>
            </w:r>
          </w:p>
        </w:tc>
        <w:tc>
          <w:tcPr>
            <w:tcW w:w="80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277446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snapToGrid w:val="0"/>
                <w:color w:val="000000"/>
                <w:spacing w:val="0"/>
                <w:kern w:val="0"/>
                <w:sz w:val="18"/>
                <w:szCs w:val="18"/>
                <w:lang w:val="en-US" w:eastAsia="zh-CN"/>
              </w:rPr>
            </w:pPr>
            <w:r>
              <w:rPr>
                <w:rFonts w:hint="eastAsia" w:ascii="Segoe UI" w:hAnsi="Segoe UI" w:eastAsia="Segoe UI" w:cs="Segoe UI"/>
                <w:b/>
                <w:i w:val="0"/>
                <w:iCs w:val="0"/>
                <w:caps w:val="0"/>
                <w:snapToGrid w:val="0"/>
                <w:color w:val="000000"/>
                <w:spacing w:val="0"/>
                <w:kern w:val="0"/>
                <w:sz w:val="18"/>
                <w:szCs w:val="18"/>
                <w:lang w:val="en-US" w:eastAsia="zh-CN"/>
              </w:rPr>
              <w:t>备份人数</w:t>
            </w:r>
          </w:p>
        </w:tc>
        <w:tc>
          <w:tcPr>
            <w:tcW w:w="858"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2DE88B1D">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Segoe UI" w:cs="Segoe UI"/>
                <w:b/>
                <w:i w:val="0"/>
                <w:iCs w:val="0"/>
                <w:caps w:val="0"/>
                <w:snapToGrid w:val="0"/>
                <w:color w:val="000000"/>
                <w:spacing w:val="0"/>
                <w:kern w:val="0"/>
                <w:sz w:val="18"/>
                <w:szCs w:val="18"/>
                <w:lang w:val="en-US" w:eastAsia="zh-CN"/>
              </w:rPr>
            </w:pPr>
            <w:r>
              <w:rPr>
                <w:rFonts w:hint="eastAsia" w:ascii="Segoe UI" w:hAnsi="Segoe UI" w:eastAsia="Segoe UI" w:cs="Segoe UI"/>
                <w:b/>
                <w:i w:val="0"/>
                <w:iCs w:val="0"/>
                <w:caps w:val="0"/>
                <w:snapToGrid w:val="0"/>
                <w:color w:val="000000"/>
                <w:spacing w:val="0"/>
                <w:kern w:val="0"/>
                <w:sz w:val="18"/>
                <w:szCs w:val="18"/>
                <w:lang w:val="en-US" w:eastAsia="zh-CN"/>
              </w:rPr>
              <w:t>到岗时间</w:t>
            </w:r>
          </w:p>
        </w:tc>
      </w:tr>
      <w:tr w14:paraId="618BB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E5753FD">
            <w:pPr>
              <w:keepNext w:val="0"/>
              <w:keepLines w:val="0"/>
              <w:widowControl/>
              <w:numPr>
                <w:ilvl w:val="0"/>
                <w:numId w:val="7"/>
              </w:numPr>
              <w:suppressLineNumbers w:val="0"/>
              <w:snapToGrid w:val="0"/>
              <w:spacing w:line="240" w:lineRule="auto"/>
              <w:ind w:left="425" w:leftChars="0" w:right="0" w:rightChars="0" w:hanging="425" w:firstLineChars="0"/>
              <w:jc w:val="center"/>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0784C1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数智运营部经理</w:t>
            </w:r>
          </w:p>
        </w:tc>
        <w:tc>
          <w:tcPr>
            <w:tcW w:w="10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FCDA05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数智运营部</w:t>
            </w:r>
          </w:p>
        </w:tc>
        <w:tc>
          <w:tcPr>
            <w:tcW w:w="308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90DCC8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部门战略、服务交付、应急响应的总负责人。</w:t>
            </w:r>
          </w:p>
        </w:tc>
        <w:tc>
          <w:tcPr>
            <w:tcW w:w="110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3FCD76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副总经理</w:t>
            </w:r>
          </w:p>
        </w:tc>
        <w:tc>
          <w:tcPr>
            <w:tcW w:w="80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F57733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c>
          <w:tcPr>
            <w:tcW w:w="85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476D6497">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2025年2月</w:t>
            </w:r>
          </w:p>
        </w:tc>
      </w:tr>
      <w:tr w14:paraId="5B5C7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6B81375">
            <w:pPr>
              <w:keepNext w:val="0"/>
              <w:keepLines w:val="0"/>
              <w:widowControl/>
              <w:numPr>
                <w:ilvl w:val="0"/>
                <w:numId w:val="7"/>
              </w:numPr>
              <w:suppressLineNumbers w:val="0"/>
              <w:snapToGrid w:val="0"/>
              <w:spacing w:line="240" w:lineRule="auto"/>
              <w:ind w:left="425" w:leftChars="0" w:right="0" w:rightChars="0" w:hanging="425" w:firstLineChars="0"/>
              <w:jc w:val="center"/>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DDE3BE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运维项目经理</w:t>
            </w:r>
          </w:p>
        </w:tc>
        <w:tc>
          <w:tcPr>
            <w:tcW w:w="10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4F3520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数智运营部</w:t>
            </w:r>
          </w:p>
        </w:tc>
        <w:tc>
          <w:tcPr>
            <w:tcW w:w="308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6C6052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单个运维项目全生命周期管理、客户关系及SLA达成的第一责任人。</w:t>
            </w:r>
          </w:p>
        </w:tc>
        <w:tc>
          <w:tcPr>
            <w:tcW w:w="110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B0A97F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数智运营部经理</w:t>
            </w:r>
          </w:p>
        </w:tc>
        <w:tc>
          <w:tcPr>
            <w:tcW w:w="80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22340E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2人</w:t>
            </w:r>
          </w:p>
        </w:tc>
        <w:tc>
          <w:tcPr>
            <w:tcW w:w="85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59C92E19">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2025年4月</w:t>
            </w:r>
          </w:p>
        </w:tc>
      </w:tr>
      <w:tr w14:paraId="14A40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09E0C27">
            <w:pPr>
              <w:keepNext w:val="0"/>
              <w:keepLines w:val="0"/>
              <w:widowControl/>
              <w:numPr>
                <w:ilvl w:val="0"/>
                <w:numId w:val="7"/>
              </w:numPr>
              <w:suppressLineNumbers w:val="0"/>
              <w:snapToGrid w:val="0"/>
              <w:spacing w:line="240" w:lineRule="auto"/>
              <w:ind w:left="425" w:leftChars="0" w:right="0" w:rightChars="0" w:hanging="425" w:firstLineChars="0"/>
              <w:jc w:val="center"/>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0B34C6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研究总院经理</w:t>
            </w:r>
          </w:p>
        </w:tc>
        <w:tc>
          <w:tcPr>
            <w:tcW w:w="10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0107B6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研究总院</w:t>
            </w:r>
          </w:p>
        </w:tc>
        <w:tc>
          <w:tcPr>
            <w:tcW w:w="308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683C04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研发战略、技术决策、架构治理及团队管理的负责人。</w:t>
            </w:r>
          </w:p>
        </w:tc>
        <w:tc>
          <w:tcPr>
            <w:tcW w:w="110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8E5C48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副总经理</w:t>
            </w:r>
          </w:p>
        </w:tc>
        <w:tc>
          <w:tcPr>
            <w:tcW w:w="80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5E66BE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c>
          <w:tcPr>
            <w:tcW w:w="85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17534359">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2025年5月</w:t>
            </w:r>
          </w:p>
        </w:tc>
      </w:tr>
      <w:tr w14:paraId="4A947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2DBB4809">
            <w:pPr>
              <w:keepNext w:val="0"/>
              <w:keepLines w:val="0"/>
              <w:widowControl/>
              <w:numPr>
                <w:ilvl w:val="0"/>
                <w:numId w:val="7"/>
              </w:numPr>
              <w:suppressLineNumbers w:val="0"/>
              <w:snapToGrid w:val="0"/>
              <w:spacing w:line="240" w:lineRule="auto"/>
              <w:ind w:left="425" w:leftChars="0" w:right="0" w:rightChars="0" w:hanging="425" w:firstLineChars="0"/>
              <w:jc w:val="center"/>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4174920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质量管理部经理</w:t>
            </w:r>
          </w:p>
        </w:tc>
        <w:tc>
          <w:tcPr>
            <w:tcW w:w="1018"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23FD3DA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质量管理部</w:t>
            </w:r>
          </w:p>
        </w:tc>
        <w:tc>
          <w:tcPr>
            <w:tcW w:w="308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405E01B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质量体系规划、内外部审核管理及重大质量事故处理的负责人。</w:t>
            </w:r>
          </w:p>
        </w:tc>
        <w:tc>
          <w:tcPr>
            <w:tcW w:w="1105"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5DB692F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质量管理专员</w:t>
            </w:r>
          </w:p>
        </w:tc>
        <w:tc>
          <w:tcPr>
            <w:tcW w:w="80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3B70F3E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c>
          <w:tcPr>
            <w:tcW w:w="85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92" w:type="dxa"/>
            </w:tcMar>
            <w:vAlign w:val="center"/>
          </w:tcPr>
          <w:p w14:paraId="65AA5008">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2025年7月</w:t>
            </w:r>
          </w:p>
        </w:tc>
      </w:tr>
    </w:tbl>
    <w:p w14:paraId="4C4E86EE">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lang w:val="en-US" w:eastAsia="zh-CN"/>
        </w:rPr>
      </w:pPr>
    </w:p>
    <w:p w14:paraId="593CBA1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31241"/>
      <w:bookmarkStart w:id="21" w:name="_Toc27741"/>
      <w:bookmarkStart w:id="22" w:name="_Toc10776"/>
      <w:r>
        <w:rPr>
          <w:rFonts w:hint="eastAsia"/>
          <w:lang w:val="en-US" w:eastAsia="zh-CN"/>
        </w:rPr>
        <w:t>人员培训管理计划</w:t>
      </w:r>
      <w:bookmarkEnd w:id="20"/>
      <w:bookmarkEnd w:id="21"/>
    </w:p>
    <w:p w14:paraId="63A44C4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Style w:val="42"/>
        </w:rPr>
        <w:t>为支撑公司战略转型与业务升级，推动组织能力与业务发展同步演进，特制定系统性全员赋能计划。本计划旨在通过结构化的培训设计与实战训练，促进新老员工在服务理念、专业技能与协同机制上的深度融合，系统补齐能力短板、加速骨干梯队培养，最终打造一支兼具专业深度与协作广度的复合型团队，为公司的持续发展提供坚实的人才保障。</w:t>
      </w:r>
      <w:r>
        <w:rPr>
          <w:rFonts w:hint="eastAsia"/>
          <w:lang w:val="en-US" w:eastAsia="zh-CN"/>
        </w:rPr>
        <w:t>培训计划，如表3-3所示</w:t>
      </w:r>
    </w:p>
    <w:p w14:paraId="207CED0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培训计划表</w:t>
      </w:r>
    </w:p>
    <w:tbl>
      <w:tblPr>
        <w:tblStyle w:val="20"/>
        <w:tblW w:w="84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532"/>
        <w:gridCol w:w="1935"/>
        <w:gridCol w:w="1020"/>
        <w:gridCol w:w="1008"/>
        <w:gridCol w:w="1176"/>
        <w:gridCol w:w="800"/>
        <w:gridCol w:w="1204"/>
        <w:gridCol w:w="820"/>
      </w:tblGrid>
      <w:tr w14:paraId="3C5C0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blHeader/>
        </w:trPr>
        <w:tc>
          <w:tcPr>
            <w:tcW w:w="532" w:type="dxa"/>
            <w:shd w:val="clear" w:color="auto" w:fill="auto"/>
            <w:tcMar>
              <w:top w:w="120" w:type="dxa"/>
              <w:left w:w="0" w:type="dxa"/>
              <w:bottom w:w="120" w:type="dxa"/>
              <w:right w:w="192" w:type="dxa"/>
            </w:tcMar>
            <w:vAlign w:val="center"/>
          </w:tcPr>
          <w:p w14:paraId="2B3D6B35">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5"/>
                <w:szCs w:val="15"/>
              </w:rPr>
            </w:pPr>
            <w:r>
              <w:rPr>
                <w:rFonts w:hint="default"/>
                <w:b/>
                <w:bCs/>
                <w:sz w:val="15"/>
                <w:szCs w:val="15"/>
                <w:lang w:val="en-US" w:eastAsia="zh-CN"/>
              </w:rPr>
              <w:t>序号</w:t>
            </w:r>
          </w:p>
        </w:tc>
        <w:tc>
          <w:tcPr>
            <w:tcW w:w="1935" w:type="dxa"/>
            <w:shd w:val="clear" w:color="auto" w:fill="auto"/>
            <w:tcMar>
              <w:top w:w="120" w:type="dxa"/>
              <w:left w:w="192" w:type="dxa"/>
              <w:bottom w:w="120" w:type="dxa"/>
              <w:right w:w="192" w:type="dxa"/>
            </w:tcMar>
            <w:vAlign w:val="center"/>
          </w:tcPr>
          <w:p w14:paraId="7BF0F9E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snapToGrid w:val="0"/>
                <w:color w:val="000000"/>
                <w:spacing w:val="0"/>
                <w:kern w:val="0"/>
                <w:sz w:val="15"/>
                <w:szCs w:val="15"/>
                <w:lang w:val="en-US" w:eastAsia="zh-CN"/>
              </w:rPr>
              <w:t>项目名称</w:t>
            </w:r>
          </w:p>
        </w:tc>
        <w:tc>
          <w:tcPr>
            <w:tcW w:w="1020" w:type="dxa"/>
            <w:shd w:val="clear" w:color="auto" w:fill="auto"/>
            <w:tcMar>
              <w:top w:w="120" w:type="dxa"/>
              <w:left w:w="192" w:type="dxa"/>
              <w:bottom w:w="120" w:type="dxa"/>
              <w:right w:w="192" w:type="dxa"/>
            </w:tcMar>
            <w:vAlign w:val="center"/>
          </w:tcPr>
          <w:p w14:paraId="57F1D72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5"/>
                <w:szCs w:val="15"/>
                <w:lang w:val="en-US"/>
              </w:rPr>
            </w:pPr>
            <w:r>
              <w:rPr>
                <w:rFonts w:hint="default" w:ascii="Segoe UI" w:hAnsi="Segoe UI" w:eastAsia="Segoe UI" w:cs="Segoe UI"/>
                <w:b/>
                <w:i w:val="0"/>
                <w:iCs w:val="0"/>
                <w:caps w:val="0"/>
                <w:snapToGrid w:val="0"/>
                <w:color w:val="000000"/>
                <w:spacing w:val="0"/>
                <w:kern w:val="0"/>
                <w:sz w:val="15"/>
                <w:szCs w:val="15"/>
                <w:lang w:val="en-US" w:eastAsia="zh-CN"/>
              </w:rPr>
              <w:t>培训</w:t>
            </w:r>
            <w:r>
              <w:rPr>
                <w:rFonts w:hint="eastAsia" w:ascii="Segoe UI" w:hAnsi="Segoe UI" w:eastAsia="Segoe UI" w:cs="Segoe UI"/>
                <w:b/>
                <w:i w:val="0"/>
                <w:iCs w:val="0"/>
                <w:caps w:val="0"/>
                <w:snapToGrid w:val="0"/>
                <w:color w:val="000000"/>
                <w:spacing w:val="0"/>
                <w:kern w:val="0"/>
                <w:sz w:val="15"/>
                <w:szCs w:val="15"/>
                <w:lang w:val="en-US" w:eastAsia="zh-CN"/>
              </w:rPr>
              <w:t>课时</w:t>
            </w:r>
          </w:p>
        </w:tc>
        <w:tc>
          <w:tcPr>
            <w:tcW w:w="1008" w:type="dxa"/>
            <w:shd w:val="clear" w:color="auto" w:fill="auto"/>
            <w:tcMar>
              <w:top w:w="120" w:type="dxa"/>
              <w:left w:w="192" w:type="dxa"/>
              <w:bottom w:w="120" w:type="dxa"/>
              <w:right w:w="192" w:type="dxa"/>
            </w:tcMar>
            <w:vAlign w:val="center"/>
          </w:tcPr>
          <w:p w14:paraId="089F429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snapToGrid w:val="0"/>
                <w:color w:val="000000"/>
                <w:spacing w:val="0"/>
                <w:kern w:val="0"/>
                <w:sz w:val="15"/>
                <w:szCs w:val="15"/>
                <w:lang w:val="en-US" w:eastAsia="zh-CN"/>
              </w:rPr>
              <w:t>培训方式</w:t>
            </w:r>
          </w:p>
        </w:tc>
        <w:tc>
          <w:tcPr>
            <w:tcW w:w="1176" w:type="dxa"/>
            <w:shd w:val="clear" w:color="auto" w:fill="auto"/>
            <w:tcMar>
              <w:top w:w="120" w:type="dxa"/>
              <w:left w:w="192" w:type="dxa"/>
              <w:bottom w:w="120" w:type="dxa"/>
              <w:right w:w="192" w:type="dxa"/>
            </w:tcMar>
            <w:vAlign w:val="center"/>
          </w:tcPr>
          <w:p w14:paraId="1081916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snapToGrid w:val="0"/>
                <w:color w:val="000000"/>
                <w:spacing w:val="0"/>
                <w:kern w:val="0"/>
                <w:sz w:val="15"/>
                <w:szCs w:val="15"/>
                <w:lang w:val="en-US" w:eastAsia="zh-CN"/>
              </w:rPr>
              <w:t>培训时间</w:t>
            </w:r>
          </w:p>
        </w:tc>
        <w:tc>
          <w:tcPr>
            <w:tcW w:w="800" w:type="dxa"/>
            <w:shd w:val="clear" w:color="auto" w:fill="auto"/>
            <w:tcMar>
              <w:top w:w="120" w:type="dxa"/>
              <w:left w:w="192" w:type="dxa"/>
              <w:bottom w:w="120" w:type="dxa"/>
              <w:right w:w="192" w:type="dxa"/>
            </w:tcMar>
            <w:vAlign w:val="center"/>
          </w:tcPr>
          <w:p w14:paraId="310CDAA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宋体" w:cs="Segoe UI"/>
                <w:b/>
                <w:i w:val="0"/>
                <w:iCs w:val="0"/>
                <w:caps w:val="0"/>
                <w:color w:val="0F1115"/>
                <w:spacing w:val="0"/>
                <w:sz w:val="15"/>
                <w:szCs w:val="15"/>
                <w:lang w:val="en-US" w:eastAsia="zh-CN"/>
              </w:rPr>
            </w:pPr>
            <w:r>
              <w:rPr>
                <w:rFonts w:hint="eastAsia" w:ascii="Segoe UI" w:hAnsi="Segoe UI" w:eastAsia="宋体" w:cs="Segoe UI"/>
                <w:b/>
                <w:i w:val="0"/>
                <w:iCs w:val="0"/>
                <w:caps w:val="0"/>
                <w:color w:val="0F1115"/>
                <w:spacing w:val="0"/>
                <w:sz w:val="15"/>
                <w:szCs w:val="15"/>
                <w:lang w:val="en-US" w:eastAsia="zh-CN"/>
              </w:rPr>
              <w:t>培训讲师</w:t>
            </w:r>
          </w:p>
        </w:tc>
        <w:tc>
          <w:tcPr>
            <w:tcW w:w="1204" w:type="dxa"/>
            <w:shd w:val="clear" w:color="auto" w:fill="auto"/>
            <w:tcMar>
              <w:top w:w="120" w:type="dxa"/>
              <w:left w:w="192" w:type="dxa"/>
              <w:bottom w:w="120" w:type="dxa"/>
              <w:right w:w="192" w:type="dxa"/>
            </w:tcMar>
            <w:vAlign w:val="center"/>
          </w:tcPr>
          <w:p w14:paraId="48F2FC35">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b/>
                <w:i w:val="0"/>
                <w:iCs w:val="0"/>
                <w:caps w:val="0"/>
                <w:snapToGrid w:val="0"/>
                <w:color w:val="000000"/>
                <w:spacing w:val="0"/>
                <w:kern w:val="0"/>
                <w:sz w:val="15"/>
                <w:szCs w:val="15"/>
                <w:lang w:val="en-US" w:eastAsia="zh-CN"/>
              </w:rPr>
            </w:pPr>
            <w:r>
              <w:rPr>
                <w:rFonts w:hint="eastAsia" w:ascii="Segoe UI" w:hAnsi="Segoe UI" w:eastAsia="Segoe UI" w:cs="Segoe UI"/>
                <w:b/>
                <w:i w:val="0"/>
                <w:iCs w:val="0"/>
                <w:caps w:val="0"/>
                <w:snapToGrid w:val="0"/>
                <w:color w:val="000000"/>
                <w:spacing w:val="0"/>
                <w:kern w:val="0"/>
                <w:sz w:val="15"/>
                <w:szCs w:val="15"/>
                <w:lang w:val="en-US" w:eastAsia="zh-CN"/>
              </w:rPr>
              <w:t>培训对象</w:t>
            </w:r>
          </w:p>
        </w:tc>
        <w:tc>
          <w:tcPr>
            <w:tcW w:w="820" w:type="dxa"/>
            <w:shd w:val="clear" w:color="auto" w:fill="auto"/>
            <w:tcMar>
              <w:top w:w="120" w:type="dxa"/>
              <w:left w:w="192" w:type="dxa"/>
              <w:bottom w:w="120" w:type="dxa"/>
              <w:right w:w="192" w:type="dxa"/>
            </w:tcMar>
            <w:vAlign w:val="center"/>
          </w:tcPr>
          <w:p w14:paraId="62F0F2D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snapToGrid w:val="0"/>
                <w:color w:val="000000"/>
                <w:spacing w:val="0"/>
                <w:kern w:val="0"/>
                <w:sz w:val="15"/>
                <w:szCs w:val="15"/>
                <w:lang w:val="en-US" w:eastAsia="zh-CN"/>
              </w:rPr>
            </w:pPr>
            <w:r>
              <w:rPr>
                <w:rFonts w:hint="default" w:ascii="Segoe UI" w:hAnsi="Segoe UI" w:eastAsia="Segoe UI" w:cs="Segoe UI"/>
                <w:b/>
                <w:i w:val="0"/>
                <w:iCs w:val="0"/>
                <w:caps w:val="0"/>
                <w:snapToGrid w:val="0"/>
                <w:color w:val="000000"/>
                <w:spacing w:val="0"/>
                <w:kern w:val="0"/>
                <w:sz w:val="15"/>
                <w:szCs w:val="15"/>
                <w:lang w:val="en-US" w:eastAsia="zh-CN"/>
              </w:rPr>
              <w:t>费用预估</w:t>
            </w:r>
          </w:p>
          <w:p w14:paraId="604361C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snapToGrid w:val="0"/>
                <w:color w:val="0F1115"/>
                <w:spacing w:val="0"/>
                <w:kern w:val="0"/>
                <w:sz w:val="15"/>
                <w:szCs w:val="15"/>
                <w:lang w:val="en-US" w:eastAsia="zh-CN" w:bidi="ar-SA"/>
              </w:rPr>
            </w:pPr>
            <w:r>
              <w:rPr>
                <w:rFonts w:hint="default" w:ascii="Segoe UI" w:hAnsi="Segoe UI" w:eastAsia="Segoe UI" w:cs="Segoe UI"/>
                <w:b/>
                <w:i w:val="0"/>
                <w:iCs w:val="0"/>
                <w:caps w:val="0"/>
                <w:snapToGrid w:val="0"/>
                <w:color w:val="000000"/>
                <w:spacing w:val="0"/>
                <w:kern w:val="0"/>
                <w:sz w:val="15"/>
                <w:szCs w:val="15"/>
                <w:lang w:val="en-US" w:eastAsia="zh-CN"/>
              </w:rPr>
              <w:t>（元）</w:t>
            </w:r>
          </w:p>
        </w:tc>
      </w:tr>
      <w:tr w14:paraId="2AA44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1232B808">
            <w:pPr>
              <w:keepNext w:val="0"/>
              <w:keepLines w:val="0"/>
              <w:pageBreakBefore w:val="0"/>
              <w:widowControl/>
              <w:numPr>
                <w:ilvl w:val="0"/>
                <w:numId w:val="8"/>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48E0D29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ITSS运维体系培训</w:t>
            </w:r>
          </w:p>
        </w:tc>
        <w:tc>
          <w:tcPr>
            <w:tcW w:w="1020" w:type="dxa"/>
            <w:shd w:val="clear" w:color="auto" w:fill="auto"/>
            <w:tcMar>
              <w:top w:w="120" w:type="dxa"/>
              <w:left w:w="192" w:type="dxa"/>
              <w:bottom w:w="120" w:type="dxa"/>
              <w:right w:w="192" w:type="dxa"/>
            </w:tcMar>
            <w:vAlign w:val="center"/>
          </w:tcPr>
          <w:p w14:paraId="0758E732">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35623C6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72AD5F2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年1月</w:t>
            </w:r>
          </w:p>
        </w:tc>
        <w:tc>
          <w:tcPr>
            <w:tcW w:w="800" w:type="dxa"/>
            <w:shd w:val="clear" w:color="auto" w:fill="auto"/>
            <w:tcMar>
              <w:top w:w="120" w:type="dxa"/>
              <w:left w:w="192" w:type="dxa"/>
              <w:bottom w:w="120" w:type="dxa"/>
              <w:right w:w="0" w:type="dxa"/>
            </w:tcMar>
            <w:vAlign w:val="center"/>
          </w:tcPr>
          <w:p w14:paraId="0DE80BD9">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sz w:val="15"/>
                <w:szCs w:val="15"/>
              </w:rPr>
              <w:t>陈萍</w:t>
            </w:r>
          </w:p>
        </w:tc>
        <w:tc>
          <w:tcPr>
            <w:tcW w:w="1204" w:type="dxa"/>
            <w:shd w:val="clear" w:color="auto" w:fill="auto"/>
            <w:tcMar>
              <w:top w:w="120" w:type="dxa"/>
              <w:left w:w="192" w:type="dxa"/>
              <w:bottom w:w="120" w:type="dxa"/>
              <w:right w:w="0" w:type="dxa"/>
            </w:tcMar>
            <w:vAlign w:val="center"/>
          </w:tcPr>
          <w:p w14:paraId="48BF94DF">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全体人员</w:t>
            </w:r>
          </w:p>
        </w:tc>
        <w:tc>
          <w:tcPr>
            <w:tcW w:w="820" w:type="dxa"/>
            <w:shd w:val="clear" w:color="auto" w:fill="auto"/>
            <w:tcMar>
              <w:top w:w="120" w:type="dxa"/>
              <w:left w:w="192" w:type="dxa"/>
              <w:bottom w:w="120" w:type="dxa"/>
              <w:right w:w="0" w:type="dxa"/>
            </w:tcMar>
            <w:vAlign w:val="center"/>
          </w:tcPr>
          <w:p w14:paraId="31A005C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4F243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7FB363B5">
            <w:pPr>
              <w:keepNext w:val="0"/>
              <w:keepLines w:val="0"/>
              <w:pageBreakBefore w:val="0"/>
              <w:widowControl/>
              <w:numPr>
                <w:ilvl w:val="0"/>
                <w:numId w:val="8"/>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668FCE9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人员备份培训</w:t>
            </w:r>
          </w:p>
        </w:tc>
        <w:tc>
          <w:tcPr>
            <w:tcW w:w="1020" w:type="dxa"/>
            <w:shd w:val="clear" w:color="auto" w:fill="auto"/>
            <w:tcMar>
              <w:top w:w="120" w:type="dxa"/>
              <w:left w:w="192" w:type="dxa"/>
              <w:bottom w:w="120" w:type="dxa"/>
              <w:right w:w="192" w:type="dxa"/>
            </w:tcMar>
            <w:vAlign w:val="center"/>
          </w:tcPr>
          <w:p w14:paraId="1EFA6F1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宋体" w:cs="Segoe UI"/>
                <w:i w:val="0"/>
                <w:iCs w:val="0"/>
                <w:caps w:val="0"/>
                <w:color w:val="0F1115"/>
                <w:spacing w:val="0"/>
                <w:sz w:val="15"/>
                <w:szCs w:val="15"/>
                <w:lang w:val="en-US" w:eastAsia="zh-CN"/>
              </w:rPr>
            </w:pPr>
            <w:r>
              <w:rPr>
                <w:rFonts w:hint="eastAsia" w:ascii="Segoe UI" w:hAnsi="Segoe UI"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6396D43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29EE0EF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2025年1月</w:t>
            </w:r>
          </w:p>
        </w:tc>
        <w:tc>
          <w:tcPr>
            <w:tcW w:w="800" w:type="dxa"/>
            <w:shd w:val="clear" w:color="auto" w:fill="auto"/>
            <w:tcMar>
              <w:top w:w="120" w:type="dxa"/>
              <w:left w:w="192" w:type="dxa"/>
              <w:bottom w:w="120" w:type="dxa"/>
              <w:right w:w="0" w:type="dxa"/>
            </w:tcMar>
            <w:vAlign w:val="center"/>
          </w:tcPr>
          <w:p w14:paraId="3D398535">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sz w:val="15"/>
                <w:szCs w:val="15"/>
              </w:rPr>
              <w:t>陈萍</w:t>
            </w:r>
          </w:p>
        </w:tc>
        <w:tc>
          <w:tcPr>
            <w:tcW w:w="1204" w:type="dxa"/>
            <w:shd w:val="clear" w:color="auto" w:fill="auto"/>
            <w:tcMar>
              <w:top w:w="120" w:type="dxa"/>
              <w:left w:w="192" w:type="dxa"/>
              <w:bottom w:w="120" w:type="dxa"/>
              <w:right w:w="0" w:type="dxa"/>
            </w:tcMar>
            <w:vAlign w:val="center"/>
          </w:tcPr>
          <w:p w14:paraId="4F727FE1">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319A468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0</w:t>
            </w:r>
          </w:p>
        </w:tc>
      </w:tr>
      <w:tr w14:paraId="46679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38DC6859">
            <w:pPr>
              <w:keepNext w:val="0"/>
              <w:keepLines w:val="0"/>
              <w:pageBreakBefore w:val="0"/>
              <w:widowControl/>
              <w:numPr>
                <w:ilvl w:val="0"/>
                <w:numId w:val="8"/>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777221E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服务意识培训</w:t>
            </w:r>
          </w:p>
        </w:tc>
        <w:tc>
          <w:tcPr>
            <w:tcW w:w="1020" w:type="dxa"/>
            <w:shd w:val="clear" w:color="auto" w:fill="auto"/>
            <w:tcMar>
              <w:top w:w="120" w:type="dxa"/>
              <w:left w:w="192" w:type="dxa"/>
              <w:bottom w:w="120" w:type="dxa"/>
              <w:right w:w="192" w:type="dxa"/>
            </w:tcMar>
            <w:vAlign w:val="center"/>
          </w:tcPr>
          <w:p w14:paraId="1ADE4975">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02A2879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5E50FD9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年2月</w:t>
            </w:r>
          </w:p>
        </w:tc>
        <w:tc>
          <w:tcPr>
            <w:tcW w:w="800" w:type="dxa"/>
            <w:shd w:val="clear" w:color="auto" w:fill="auto"/>
            <w:tcMar>
              <w:top w:w="120" w:type="dxa"/>
              <w:left w:w="192" w:type="dxa"/>
              <w:bottom w:w="120" w:type="dxa"/>
              <w:right w:w="0" w:type="dxa"/>
            </w:tcMar>
            <w:vAlign w:val="center"/>
          </w:tcPr>
          <w:p w14:paraId="7451FA97">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7BD75BB8">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66EECD0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10E69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2DB16DF7">
            <w:pPr>
              <w:keepNext w:val="0"/>
              <w:keepLines w:val="0"/>
              <w:pageBreakBefore w:val="0"/>
              <w:widowControl/>
              <w:numPr>
                <w:ilvl w:val="0"/>
                <w:numId w:val="8"/>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335521C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运维工具培训</w:t>
            </w:r>
          </w:p>
        </w:tc>
        <w:tc>
          <w:tcPr>
            <w:tcW w:w="1020" w:type="dxa"/>
            <w:shd w:val="clear" w:color="auto" w:fill="auto"/>
            <w:tcMar>
              <w:top w:w="120" w:type="dxa"/>
              <w:left w:w="192" w:type="dxa"/>
              <w:bottom w:w="120" w:type="dxa"/>
              <w:right w:w="192" w:type="dxa"/>
            </w:tcMar>
            <w:vAlign w:val="center"/>
          </w:tcPr>
          <w:p w14:paraId="4F7D77B1">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026B039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6313860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年3月</w:t>
            </w:r>
          </w:p>
        </w:tc>
        <w:tc>
          <w:tcPr>
            <w:tcW w:w="800" w:type="dxa"/>
            <w:shd w:val="clear" w:color="auto" w:fill="auto"/>
            <w:tcMar>
              <w:top w:w="120" w:type="dxa"/>
              <w:left w:w="192" w:type="dxa"/>
              <w:bottom w:w="120" w:type="dxa"/>
              <w:right w:w="0" w:type="dxa"/>
            </w:tcMar>
            <w:vAlign w:val="center"/>
          </w:tcPr>
          <w:p w14:paraId="4395A109">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7B7C91F1">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1480521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3048A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55918702">
            <w:pPr>
              <w:keepNext w:val="0"/>
              <w:keepLines w:val="0"/>
              <w:pageBreakBefore w:val="0"/>
              <w:widowControl/>
              <w:numPr>
                <w:ilvl w:val="0"/>
                <w:numId w:val="8"/>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44129FA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工单</w:t>
            </w:r>
            <w:r>
              <w:rPr>
                <w:rFonts w:hint="default" w:ascii="Segoe UI" w:hAnsi="Segoe UI" w:eastAsia="Segoe UI" w:cs="Segoe UI"/>
                <w:i w:val="0"/>
                <w:iCs w:val="0"/>
                <w:caps w:val="0"/>
                <w:snapToGrid w:val="0"/>
                <w:color w:val="000000"/>
                <w:spacing w:val="0"/>
                <w:kern w:val="0"/>
                <w:sz w:val="15"/>
                <w:szCs w:val="15"/>
                <w:lang w:val="en-US" w:eastAsia="zh-CN"/>
              </w:rPr>
              <w:t>系统培训</w:t>
            </w:r>
          </w:p>
        </w:tc>
        <w:tc>
          <w:tcPr>
            <w:tcW w:w="1020" w:type="dxa"/>
            <w:shd w:val="clear" w:color="auto" w:fill="auto"/>
            <w:tcMar>
              <w:top w:w="120" w:type="dxa"/>
              <w:left w:w="192" w:type="dxa"/>
              <w:bottom w:w="120" w:type="dxa"/>
              <w:right w:w="192" w:type="dxa"/>
            </w:tcMar>
            <w:vAlign w:val="center"/>
          </w:tcPr>
          <w:p w14:paraId="4B5B8009">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1E2268F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7F519C5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年4月</w:t>
            </w:r>
          </w:p>
        </w:tc>
        <w:tc>
          <w:tcPr>
            <w:tcW w:w="800" w:type="dxa"/>
            <w:shd w:val="clear" w:color="auto" w:fill="auto"/>
            <w:tcMar>
              <w:top w:w="120" w:type="dxa"/>
              <w:left w:w="192" w:type="dxa"/>
              <w:bottom w:w="120" w:type="dxa"/>
              <w:right w:w="0" w:type="dxa"/>
            </w:tcMar>
            <w:vAlign w:val="center"/>
          </w:tcPr>
          <w:p w14:paraId="62E62C6B">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70EF5A91">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2D40764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6CA29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10196A56">
            <w:pPr>
              <w:keepNext w:val="0"/>
              <w:keepLines w:val="0"/>
              <w:pageBreakBefore w:val="0"/>
              <w:widowControl/>
              <w:numPr>
                <w:ilvl w:val="0"/>
                <w:numId w:val="8"/>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4BFB364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员工手册培训</w:t>
            </w:r>
          </w:p>
        </w:tc>
        <w:tc>
          <w:tcPr>
            <w:tcW w:w="1020" w:type="dxa"/>
            <w:shd w:val="clear" w:color="auto" w:fill="auto"/>
            <w:tcMar>
              <w:top w:w="120" w:type="dxa"/>
              <w:left w:w="192" w:type="dxa"/>
              <w:bottom w:w="120" w:type="dxa"/>
              <w:right w:w="192" w:type="dxa"/>
            </w:tcMar>
            <w:vAlign w:val="center"/>
          </w:tcPr>
          <w:p w14:paraId="5A0883D0">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3812926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56C36B5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年5月</w:t>
            </w:r>
          </w:p>
        </w:tc>
        <w:tc>
          <w:tcPr>
            <w:tcW w:w="800" w:type="dxa"/>
            <w:shd w:val="clear" w:color="auto" w:fill="auto"/>
            <w:tcMar>
              <w:top w:w="120" w:type="dxa"/>
              <w:left w:w="192" w:type="dxa"/>
              <w:bottom w:w="120" w:type="dxa"/>
              <w:right w:w="0" w:type="dxa"/>
            </w:tcMar>
            <w:vAlign w:val="center"/>
          </w:tcPr>
          <w:p w14:paraId="4919D28E">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7D7C3FA6">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3318091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54E33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6B2120CD">
            <w:pPr>
              <w:keepNext w:val="0"/>
              <w:keepLines w:val="0"/>
              <w:pageBreakBefore w:val="0"/>
              <w:widowControl/>
              <w:numPr>
                <w:ilvl w:val="0"/>
                <w:numId w:val="8"/>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p>
        </w:tc>
        <w:tc>
          <w:tcPr>
            <w:tcW w:w="1935" w:type="dxa"/>
            <w:shd w:val="clear" w:color="auto" w:fill="auto"/>
            <w:tcMar>
              <w:top w:w="120" w:type="dxa"/>
              <w:left w:w="192" w:type="dxa"/>
              <w:bottom w:w="120" w:type="dxa"/>
              <w:right w:w="192" w:type="dxa"/>
            </w:tcMar>
            <w:vAlign w:val="center"/>
          </w:tcPr>
          <w:p w14:paraId="3630D2B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应急管理培训</w:t>
            </w:r>
          </w:p>
        </w:tc>
        <w:tc>
          <w:tcPr>
            <w:tcW w:w="1020" w:type="dxa"/>
            <w:shd w:val="clear" w:color="auto" w:fill="auto"/>
            <w:tcMar>
              <w:top w:w="120" w:type="dxa"/>
              <w:left w:w="192" w:type="dxa"/>
              <w:bottom w:w="120" w:type="dxa"/>
              <w:right w:w="192" w:type="dxa"/>
            </w:tcMar>
            <w:vAlign w:val="center"/>
          </w:tcPr>
          <w:p w14:paraId="53FD828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4</w:t>
            </w:r>
          </w:p>
        </w:tc>
        <w:tc>
          <w:tcPr>
            <w:tcW w:w="1008" w:type="dxa"/>
            <w:shd w:val="clear" w:color="auto" w:fill="auto"/>
            <w:tcMar>
              <w:top w:w="120" w:type="dxa"/>
              <w:left w:w="192" w:type="dxa"/>
              <w:bottom w:w="120" w:type="dxa"/>
              <w:right w:w="192" w:type="dxa"/>
            </w:tcMar>
            <w:vAlign w:val="center"/>
          </w:tcPr>
          <w:p w14:paraId="1B6B614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3054822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2025年5月</w:t>
            </w:r>
          </w:p>
        </w:tc>
        <w:tc>
          <w:tcPr>
            <w:tcW w:w="800" w:type="dxa"/>
            <w:shd w:val="clear" w:color="auto" w:fill="auto"/>
            <w:tcMar>
              <w:top w:w="120" w:type="dxa"/>
              <w:left w:w="192" w:type="dxa"/>
              <w:bottom w:w="120" w:type="dxa"/>
              <w:right w:w="0" w:type="dxa"/>
            </w:tcMar>
            <w:vAlign w:val="center"/>
          </w:tcPr>
          <w:p w14:paraId="62C8EAFA">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4ECF140B">
            <w:pPr>
              <w:keepNext w:val="0"/>
              <w:keepLines w:val="0"/>
              <w:widowControl/>
              <w:suppressLineNumbers w:val="0"/>
              <w:snapToGrid w:val="0"/>
              <w:spacing w:line="240" w:lineRule="auto"/>
              <w:ind w:left="0" w:leftChars="0" w:right="0" w:rightChars="0" w:firstLine="0" w:firstLineChars="0"/>
              <w:jc w:val="both"/>
              <w:rPr>
                <w:rFonts w:hint="eastAsia"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35086F6B">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0</w:t>
            </w:r>
          </w:p>
        </w:tc>
      </w:tr>
      <w:tr w14:paraId="229E2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3739952F">
            <w:pPr>
              <w:keepNext w:val="0"/>
              <w:keepLines w:val="0"/>
              <w:pageBreakBefore w:val="0"/>
              <w:widowControl/>
              <w:numPr>
                <w:ilvl w:val="0"/>
                <w:numId w:val="8"/>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033A870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Java 架构培训</w:t>
            </w:r>
          </w:p>
        </w:tc>
        <w:tc>
          <w:tcPr>
            <w:tcW w:w="1020" w:type="dxa"/>
            <w:shd w:val="clear" w:color="auto" w:fill="auto"/>
            <w:tcMar>
              <w:top w:w="120" w:type="dxa"/>
              <w:left w:w="192" w:type="dxa"/>
              <w:bottom w:w="120" w:type="dxa"/>
              <w:right w:w="192" w:type="dxa"/>
            </w:tcMar>
            <w:vAlign w:val="center"/>
          </w:tcPr>
          <w:p w14:paraId="5A0E165E">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5F856B0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外部</w:t>
            </w:r>
          </w:p>
        </w:tc>
        <w:tc>
          <w:tcPr>
            <w:tcW w:w="1176" w:type="dxa"/>
            <w:shd w:val="clear" w:color="auto" w:fill="auto"/>
            <w:tcMar>
              <w:top w:w="120" w:type="dxa"/>
              <w:left w:w="192" w:type="dxa"/>
              <w:bottom w:w="120" w:type="dxa"/>
              <w:right w:w="192" w:type="dxa"/>
            </w:tcMar>
            <w:vAlign w:val="center"/>
          </w:tcPr>
          <w:p w14:paraId="45C8B68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年6月</w:t>
            </w:r>
          </w:p>
        </w:tc>
        <w:tc>
          <w:tcPr>
            <w:tcW w:w="800" w:type="dxa"/>
            <w:shd w:val="clear" w:color="auto" w:fill="auto"/>
            <w:tcMar>
              <w:top w:w="120" w:type="dxa"/>
              <w:left w:w="192" w:type="dxa"/>
              <w:bottom w:w="120" w:type="dxa"/>
              <w:right w:w="0" w:type="dxa"/>
            </w:tcMar>
            <w:vAlign w:val="center"/>
          </w:tcPr>
          <w:p w14:paraId="1A3DE525">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sz w:val="15"/>
                <w:szCs w:val="15"/>
              </w:rPr>
              <w:t>熊发云</w:t>
            </w:r>
          </w:p>
        </w:tc>
        <w:tc>
          <w:tcPr>
            <w:tcW w:w="1204" w:type="dxa"/>
            <w:shd w:val="clear" w:color="auto" w:fill="auto"/>
            <w:tcMar>
              <w:top w:w="120" w:type="dxa"/>
              <w:left w:w="192" w:type="dxa"/>
              <w:bottom w:w="120" w:type="dxa"/>
              <w:right w:w="0" w:type="dxa"/>
            </w:tcMar>
            <w:vAlign w:val="center"/>
          </w:tcPr>
          <w:p w14:paraId="1870F5FE">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研发相关人员</w:t>
            </w:r>
          </w:p>
        </w:tc>
        <w:tc>
          <w:tcPr>
            <w:tcW w:w="820" w:type="dxa"/>
            <w:shd w:val="clear" w:color="auto" w:fill="auto"/>
            <w:tcMar>
              <w:top w:w="120" w:type="dxa"/>
              <w:left w:w="192" w:type="dxa"/>
              <w:bottom w:w="120" w:type="dxa"/>
              <w:right w:w="0" w:type="dxa"/>
            </w:tcMar>
            <w:vAlign w:val="center"/>
          </w:tcPr>
          <w:p w14:paraId="44C02FC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5,000</w:t>
            </w:r>
          </w:p>
        </w:tc>
      </w:tr>
      <w:tr w14:paraId="410A0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2C8FEB5E">
            <w:pPr>
              <w:keepNext w:val="0"/>
              <w:keepLines w:val="0"/>
              <w:pageBreakBefore w:val="0"/>
              <w:widowControl/>
              <w:numPr>
                <w:ilvl w:val="0"/>
                <w:numId w:val="8"/>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6DEE6E3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lang w:val="en-US"/>
              </w:rPr>
            </w:pPr>
            <w:r>
              <w:rPr>
                <w:rFonts w:hint="eastAsia" w:ascii="Segoe UI" w:hAnsi="Segoe UI" w:eastAsia="Segoe UI" w:cs="Segoe UI"/>
                <w:i w:val="0"/>
                <w:iCs w:val="0"/>
                <w:caps w:val="0"/>
                <w:snapToGrid w:val="0"/>
                <w:color w:val="000000"/>
                <w:spacing w:val="0"/>
                <w:kern w:val="0"/>
                <w:sz w:val="15"/>
                <w:szCs w:val="15"/>
                <w:lang w:val="en-US" w:eastAsia="zh-CN"/>
              </w:rPr>
              <w:t>信息安全培训</w:t>
            </w:r>
          </w:p>
        </w:tc>
        <w:tc>
          <w:tcPr>
            <w:tcW w:w="1020" w:type="dxa"/>
            <w:shd w:val="clear" w:color="auto" w:fill="auto"/>
            <w:tcMar>
              <w:top w:w="120" w:type="dxa"/>
              <w:left w:w="192" w:type="dxa"/>
              <w:bottom w:w="120" w:type="dxa"/>
              <w:right w:w="192" w:type="dxa"/>
            </w:tcMar>
            <w:vAlign w:val="center"/>
          </w:tcPr>
          <w:p w14:paraId="417FD7EA">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05F1C63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6C2E716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年7月</w:t>
            </w:r>
          </w:p>
        </w:tc>
        <w:tc>
          <w:tcPr>
            <w:tcW w:w="800" w:type="dxa"/>
            <w:shd w:val="clear" w:color="auto" w:fill="auto"/>
            <w:tcMar>
              <w:top w:w="120" w:type="dxa"/>
              <w:left w:w="192" w:type="dxa"/>
              <w:bottom w:w="120" w:type="dxa"/>
              <w:right w:w="0" w:type="dxa"/>
            </w:tcMar>
            <w:vAlign w:val="center"/>
          </w:tcPr>
          <w:p w14:paraId="55B5B579">
            <w:pPr>
              <w:keepNext w:val="0"/>
              <w:keepLines w:val="0"/>
              <w:widowControl/>
              <w:suppressLineNumbers w:val="0"/>
              <w:snapToGrid w:val="0"/>
              <w:spacing w:line="240" w:lineRule="auto"/>
              <w:ind w:left="0" w:leftChars="0" w:right="0" w:rightChars="0" w:firstLine="0" w:firstLineChars="0"/>
              <w:jc w:val="both"/>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7CA035F4">
            <w:pPr>
              <w:keepNext w:val="0"/>
              <w:keepLines w:val="0"/>
              <w:widowControl/>
              <w:suppressLineNumbers w:val="0"/>
              <w:snapToGrid w:val="0"/>
              <w:spacing w:line="240" w:lineRule="auto"/>
              <w:ind w:left="0" w:leftChars="0" w:right="0" w:rightChars="0" w:firstLine="0" w:firstLineChars="0"/>
              <w:jc w:val="both"/>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2655461F">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snapToGrid w:val="0"/>
                <w:color w:val="0F1115"/>
                <w:spacing w:val="0"/>
                <w:kern w:val="0"/>
                <w:sz w:val="15"/>
                <w:szCs w:val="15"/>
                <w:lang w:val="en-US" w:eastAsia="zh-CN" w:bidi="ar-SA"/>
              </w:rPr>
            </w:pPr>
            <w:r>
              <w:rPr>
                <w:rFonts w:hint="eastAsia" w:ascii="Segoe UI" w:hAnsi="Segoe UI" w:eastAsia="宋体" w:cs="Segoe UI"/>
                <w:i w:val="0"/>
                <w:iCs w:val="0"/>
                <w:caps w:val="0"/>
                <w:color w:val="0F1115"/>
                <w:spacing w:val="0"/>
                <w:sz w:val="15"/>
                <w:szCs w:val="15"/>
                <w:lang w:val="en-US" w:eastAsia="zh-CN"/>
              </w:rPr>
              <w:t>0</w:t>
            </w:r>
          </w:p>
        </w:tc>
      </w:tr>
      <w:tr w14:paraId="7FFC0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43025DD7">
            <w:pPr>
              <w:keepNext w:val="0"/>
              <w:keepLines w:val="0"/>
              <w:pageBreakBefore w:val="0"/>
              <w:widowControl/>
              <w:numPr>
                <w:ilvl w:val="0"/>
                <w:numId w:val="8"/>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37F0F4D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lang w:val="en-US"/>
              </w:rPr>
            </w:pPr>
            <w:r>
              <w:rPr>
                <w:rFonts w:hint="eastAsia" w:ascii="Segoe UI" w:hAnsi="Segoe UI" w:eastAsia="Segoe UI" w:cs="Segoe UI"/>
                <w:i w:val="0"/>
                <w:iCs w:val="0"/>
                <w:caps w:val="0"/>
                <w:snapToGrid w:val="0"/>
                <w:color w:val="000000"/>
                <w:spacing w:val="0"/>
                <w:kern w:val="0"/>
                <w:sz w:val="15"/>
                <w:szCs w:val="15"/>
                <w:lang w:val="en-US" w:eastAsia="zh-CN"/>
              </w:rPr>
              <w:t>服务台规范培训</w:t>
            </w:r>
          </w:p>
        </w:tc>
        <w:tc>
          <w:tcPr>
            <w:tcW w:w="1020" w:type="dxa"/>
            <w:shd w:val="clear" w:color="auto" w:fill="auto"/>
            <w:tcMar>
              <w:top w:w="120" w:type="dxa"/>
              <w:left w:w="192" w:type="dxa"/>
              <w:bottom w:w="120" w:type="dxa"/>
              <w:right w:w="192" w:type="dxa"/>
            </w:tcMar>
            <w:vAlign w:val="center"/>
          </w:tcPr>
          <w:p w14:paraId="4B009F64">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410CDB8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1DEB7B7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年8月</w:t>
            </w:r>
          </w:p>
        </w:tc>
        <w:tc>
          <w:tcPr>
            <w:tcW w:w="800" w:type="dxa"/>
            <w:shd w:val="clear" w:color="auto" w:fill="auto"/>
            <w:tcMar>
              <w:top w:w="120" w:type="dxa"/>
              <w:left w:w="192" w:type="dxa"/>
              <w:bottom w:w="120" w:type="dxa"/>
              <w:right w:w="0" w:type="dxa"/>
            </w:tcMar>
            <w:vAlign w:val="center"/>
          </w:tcPr>
          <w:p w14:paraId="1201A252">
            <w:pPr>
              <w:keepNext w:val="0"/>
              <w:keepLines w:val="0"/>
              <w:widowControl/>
              <w:suppressLineNumbers w:val="0"/>
              <w:snapToGrid w:val="0"/>
              <w:spacing w:line="240" w:lineRule="auto"/>
              <w:ind w:left="0" w:leftChars="0" w:right="0" w:rightChars="0" w:firstLine="0" w:firstLineChars="0"/>
              <w:jc w:val="both"/>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7B55E2FC">
            <w:pPr>
              <w:keepNext w:val="0"/>
              <w:keepLines w:val="0"/>
              <w:widowControl/>
              <w:suppressLineNumbers w:val="0"/>
              <w:snapToGrid w:val="0"/>
              <w:spacing w:line="240" w:lineRule="auto"/>
              <w:ind w:left="0" w:leftChars="0" w:right="0" w:rightChars="0" w:firstLine="0" w:firstLineChars="0"/>
              <w:jc w:val="both"/>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6481DD67">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snapToGrid w:val="0"/>
                <w:color w:val="0F1115"/>
                <w:spacing w:val="0"/>
                <w:kern w:val="0"/>
                <w:sz w:val="15"/>
                <w:szCs w:val="15"/>
                <w:lang w:val="en-US" w:eastAsia="zh-CN" w:bidi="ar-SA"/>
              </w:rPr>
            </w:pPr>
            <w:r>
              <w:rPr>
                <w:rFonts w:hint="eastAsia" w:ascii="Segoe UI" w:hAnsi="Segoe UI" w:eastAsia="宋体" w:cs="Segoe UI"/>
                <w:i w:val="0"/>
                <w:iCs w:val="0"/>
                <w:caps w:val="0"/>
                <w:color w:val="0F1115"/>
                <w:spacing w:val="0"/>
                <w:sz w:val="15"/>
                <w:szCs w:val="15"/>
                <w:lang w:val="en-US" w:eastAsia="zh-CN"/>
              </w:rPr>
              <w:t>0</w:t>
            </w:r>
          </w:p>
        </w:tc>
      </w:tr>
      <w:tr w14:paraId="615B1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475FD5ED">
            <w:pPr>
              <w:keepNext w:val="0"/>
              <w:keepLines w:val="0"/>
              <w:pageBreakBefore w:val="0"/>
              <w:widowControl/>
              <w:numPr>
                <w:ilvl w:val="0"/>
                <w:numId w:val="8"/>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4FB45A8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管理能力提升</w:t>
            </w:r>
          </w:p>
        </w:tc>
        <w:tc>
          <w:tcPr>
            <w:tcW w:w="1020" w:type="dxa"/>
            <w:shd w:val="clear" w:color="auto" w:fill="auto"/>
            <w:tcMar>
              <w:top w:w="120" w:type="dxa"/>
              <w:left w:w="192" w:type="dxa"/>
              <w:bottom w:w="120" w:type="dxa"/>
              <w:right w:w="192" w:type="dxa"/>
            </w:tcMar>
            <w:vAlign w:val="center"/>
          </w:tcPr>
          <w:p w14:paraId="1CD6259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1</w:t>
            </w:r>
          </w:p>
        </w:tc>
        <w:tc>
          <w:tcPr>
            <w:tcW w:w="1008" w:type="dxa"/>
            <w:shd w:val="clear" w:color="auto" w:fill="auto"/>
            <w:tcMar>
              <w:top w:w="120" w:type="dxa"/>
              <w:left w:w="192" w:type="dxa"/>
              <w:bottom w:w="120" w:type="dxa"/>
              <w:right w:w="192" w:type="dxa"/>
            </w:tcMar>
            <w:vAlign w:val="center"/>
          </w:tcPr>
          <w:p w14:paraId="142891E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外部</w:t>
            </w:r>
          </w:p>
        </w:tc>
        <w:tc>
          <w:tcPr>
            <w:tcW w:w="1176" w:type="dxa"/>
            <w:shd w:val="clear" w:color="auto" w:fill="auto"/>
            <w:tcMar>
              <w:top w:w="120" w:type="dxa"/>
              <w:left w:w="192" w:type="dxa"/>
              <w:bottom w:w="120" w:type="dxa"/>
              <w:right w:w="192" w:type="dxa"/>
            </w:tcMar>
            <w:vAlign w:val="center"/>
          </w:tcPr>
          <w:p w14:paraId="4FA5D2D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年9月</w:t>
            </w:r>
          </w:p>
        </w:tc>
        <w:tc>
          <w:tcPr>
            <w:tcW w:w="800" w:type="dxa"/>
            <w:shd w:val="clear" w:color="auto" w:fill="auto"/>
            <w:tcMar>
              <w:top w:w="120" w:type="dxa"/>
              <w:left w:w="192" w:type="dxa"/>
              <w:bottom w:w="120" w:type="dxa"/>
              <w:right w:w="0" w:type="dxa"/>
            </w:tcMar>
            <w:vAlign w:val="center"/>
          </w:tcPr>
          <w:p w14:paraId="3197BE72">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62427F8F">
            <w:pPr>
              <w:keepNext w:val="0"/>
              <w:keepLines w:val="0"/>
              <w:widowControl/>
              <w:suppressLineNumbers w:val="0"/>
              <w:snapToGrid w:val="0"/>
              <w:spacing w:line="240" w:lineRule="auto"/>
              <w:ind w:left="0" w:leftChars="0" w:right="0" w:rightChars="0" w:firstLine="0" w:firstLineChars="0"/>
              <w:jc w:val="both"/>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79593C4B">
            <w:pPr>
              <w:keepNext w:val="0"/>
              <w:keepLines w:val="0"/>
              <w:widowControl/>
              <w:suppressLineNumbers w:val="0"/>
              <w:tabs>
                <w:tab w:val="center" w:pos="528"/>
              </w:tabs>
              <w:snapToGrid w:val="0"/>
              <w:spacing w:line="240" w:lineRule="auto"/>
              <w:ind w:left="0" w:leftChars="0" w:right="0" w:rightChars="0" w:firstLine="0" w:firstLineChars="0"/>
              <w:jc w:val="center"/>
              <w:rPr>
                <w:rFonts w:hint="eastAsia" w:ascii="Segoe UI" w:hAnsi="Segoe UI" w:eastAsia="宋体" w:cs="Segoe UI"/>
                <w:i w:val="0"/>
                <w:iCs w:val="0"/>
                <w:caps w:val="0"/>
                <w:snapToGrid w:val="0"/>
                <w:color w:val="0F1115"/>
                <w:spacing w:val="0"/>
                <w:kern w:val="0"/>
                <w:sz w:val="15"/>
                <w:szCs w:val="15"/>
                <w:lang w:val="en-US" w:eastAsia="zh-CN" w:bidi="ar-SA"/>
              </w:rPr>
            </w:pPr>
            <w:r>
              <w:rPr>
                <w:rFonts w:hint="eastAsia" w:ascii="Segoe UI" w:hAnsi="Segoe UI" w:eastAsia="宋体" w:cs="Segoe UI"/>
                <w:i w:val="0"/>
                <w:iCs w:val="0"/>
                <w:caps w:val="0"/>
                <w:color w:val="0F1115"/>
                <w:spacing w:val="0"/>
                <w:sz w:val="15"/>
                <w:szCs w:val="15"/>
                <w:lang w:val="en-US" w:eastAsia="zh-CN"/>
              </w:rPr>
              <w:t>10000</w:t>
            </w:r>
          </w:p>
        </w:tc>
      </w:tr>
      <w:tr w14:paraId="23BEF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47" w:hRule="atLeast"/>
        </w:trPr>
        <w:tc>
          <w:tcPr>
            <w:tcW w:w="532" w:type="dxa"/>
            <w:shd w:val="clear" w:color="auto" w:fill="auto"/>
            <w:tcMar>
              <w:top w:w="120" w:type="dxa"/>
              <w:left w:w="0" w:type="dxa"/>
              <w:bottom w:w="120" w:type="dxa"/>
              <w:right w:w="192" w:type="dxa"/>
            </w:tcMar>
            <w:vAlign w:val="center"/>
          </w:tcPr>
          <w:p w14:paraId="1F0433BA">
            <w:pPr>
              <w:keepNext w:val="0"/>
              <w:keepLines w:val="0"/>
              <w:pageBreakBefore w:val="0"/>
              <w:widowControl/>
              <w:numPr>
                <w:ilvl w:val="0"/>
                <w:numId w:val="8"/>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0678A5A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日常运维典型案例分析</w:t>
            </w:r>
          </w:p>
        </w:tc>
        <w:tc>
          <w:tcPr>
            <w:tcW w:w="1020" w:type="dxa"/>
            <w:shd w:val="clear" w:color="auto" w:fill="auto"/>
            <w:tcMar>
              <w:top w:w="120" w:type="dxa"/>
              <w:left w:w="192" w:type="dxa"/>
              <w:bottom w:w="120" w:type="dxa"/>
              <w:right w:w="192" w:type="dxa"/>
            </w:tcMar>
            <w:vAlign w:val="center"/>
          </w:tcPr>
          <w:p w14:paraId="7B1692B9">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4</w:t>
            </w:r>
          </w:p>
        </w:tc>
        <w:tc>
          <w:tcPr>
            <w:tcW w:w="1008" w:type="dxa"/>
            <w:shd w:val="clear" w:color="auto" w:fill="auto"/>
            <w:tcMar>
              <w:top w:w="120" w:type="dxa"/>
              <w:left w:w="192" w:type="dxa"/>
              <w:bottom w:w="120" w:type="dxa"/>
              <w:right w:w="192" w:type="dxa"/>
            </w:tcMar>
            <w:vAlign w:val="center"/>
          </w:tcPr>
          <w:p w14:paraId="5C22A63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2D37E37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年10月</w:t>
            </w:r>
          </w:p>
        </w:tc>
        <w:tc>
          <w:tcPr>
            <w:tcW w:w="800" w:type="dxa"/>
            <w:shd w:val="clear" w:color="auto" w:fill="auto"/>
            <w:tcMar>
              <w:top w:w="120" w:type="dxa"/>
              <w:left w:w="192" w:type="dxa"/>
              <w:bottom w:w="120" w:type="dxa"/>
              <w:right w:w="0" w:type="dxa"/>
            </w:tcMar>
            <w:vAlign w:val="center"/>
          </w:tcPr>
          <w:p w14:paraId="03A84978">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徐超超</w:t>
            </w:r>
          </w:p>
        </w:tc>
        <w:tc>
          <w:tcPr>
            <w:tcW w:w="1204" w:type="dxa"/>
            <w:shd w:val="clear" w:color="auto" w:fill="auto"/>
            <w:tcMar>
              <w:top w:w="120" w:type="dxa"/>
              <w:left w:w="192" w:type="dxa"/>
              <w:bottom w:w="120" w:type="dxa"/>
              <w:right w:w="0" w:type="dxa"/>
            </w:tcMar>
            <w:vAlign w:val="center"/>
          </w:tcPr>
          <w:p w14:paraId="2AADA56E">
            <w:pPr>
              <w:keepNext w:val="0"/>
              <w:keepLines w:val="0"/>
              <w:widowControl/>
              <w:suppressLineNumbers w:val="0"/>
              <w:snapToGrid w:val="0"/>
              <w:spacing w:line="240" w:lineRule="auto"/>
              <w:ind w:left="0" w:leftChars="0" w:right="0" w:rightChars="0" w:firstLine="0" w:firstLineChars="0"/>
              <w:jc w:val="both"/>
              <w:rPr>
                <w:rFonts w:hint="eastAsia"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4F329941">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Segoe UI" w:cs="Segoe UI"/>
                <w:i w:val="0"/>
                <w:iCs w:val="0"/>
                <w:caps w:val="0"/>
                <w:snapToGrid w:val="0"/>
                <w:color w:val="0F1115"/>
                <w:spacing w:val="0"/>
                <w:kern w:val="0"/>
                <w:sz w:val="15"/>
                <w:szCs w:val="15"/>
                <w:lang w:val="en-US" w:eastAsia="zh-CN" w:bidi="ar-SA"/>
              </w:rPr>
            </w:pPr>
            <w:r>
              <w:rPr>
                <w:rFonts w:hint="eastAsia" w:ascii="Segoe UI" w:hAnsi="Segoe UI" w:eastAsia="Segoe UI" w:cs="Segoe UI"/>
                <w:i w:val="0"/>
                <w:iCs w:val="0"/>
                <w:caps w:val="0"/>
                <w:snapToGrid w:val="0"/>
                <w:color w:val="000000"/>
                <w:spacing w:val="0"/>
                <w:kern w:val="0"/>
                <w:sz w:val="15"/>
                <w:szCs w:val="15"/>
                <w:lang w:val="en-US" w:eastAsia="zh-CN"/>
              </w:rPr>
              <w:t>0</w:t>
            </w:r>
          </w:p>
        </w:tc>
      </w:tr>
      <w:tr w14:paraId="48D17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7D16357C">
            <w:pPr>
              <w:keepNext w:val="0"/>
              <w:keepLines w:val="0"/>
              <w:pageBreakBefore w:val="0"/>
              <w:widowControl/>
              <w:numPr>
                <w:ilvl w:val="0"/>
                <w:numId w:val="8"/>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11EB988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前端技术培训</w:t>
            </w:r>
          </w:p>
        </w:tc>
        <w:tc>
          <w:tcPr>
            <w:tcW w:w="1020" w:type="dxa"/>
            <w:shd w:val="clear" w:color="auto" w:fill="auto"/>
            <w:tcMar>
              <w:top w:w="120" w:type="dxa"/>
              <w:left w:w="192" w:type="dxa"/>
              <w:bottom w:w="120" w:type="dxa"/>
              <w:right w:w="192" w:type="dxa"/>
            </w:tcMar>
            <w:vAlign w:val="center"/>
          </w:tcPr>
          <w:p w14:paraId="70DF98B9">
            <w:pPr>
              <w:keepNext w:val="0"/>
              <w:keepLines w:val="0"/>
              <w:widowControl/>
              <w:suppressLineNumbers w:val="0"/>
              <w:snapToGrid w:val="0"/>
              <w:spacing w:line="240" w:lineRule="auto"/>
              <w:ind w:left="0" w:leftChars="0" w:right="0" w:rightChars="0" w:firstLine="0" w:firstLineChars="0"/>
              <w:jc w:val="center"/>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73C5969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lang w:val="en-US"/>
              </w:rPr>
            </w:pPr>
            <w:r>
              <w:rPr>
                <w:rFonts w:hint="default" w:ascii="Segoe UI" w:hAnsi="Segoe UI" w:eastAsia="Segoe UI" w:cs="Segoe UI"/>
                <w:i w:val="0"/>
                <w:iCs w:val="0"/>
                <w:caps w:val="0"/>
                <w:snapToGrid w:val="0"/>
                <w:color w:val="000000"/>
                <w:spacing w:val="0"/>
                <w:kern w:val="0"/>
                <w:sz w:val="15"/>
                <w:szCs w:val="15"/>
                <w:lang w:val="en-US" w:eastAsia="zh-CN"/>
              </w:rPr>
              <w:t>内部</w:t>
            </w:r>
            <w:r>
              <w:rPr>
                <w:rFonts w:hint="eastAsia" w:ascii="Segoe UI" w:hAnsi="Segoe UI" w:eastAsia="Segoe UI" w:cs="Segoe UI"/>
                <w:i w:val="0"/>
                <w:iCs w:val="0"/>
                <w:caps w:val="0"/>
                <w:snapToGrid w:val="0"/>
                <w:color w:val="000000"/>
                <w:spacing w:val="0"/>
                <w:kern w:val="0"/>
                <w:sz w:val="15"/>
                <w:szCs w:val="15"/>
                <w:lang w:val="en-US" w:eastAsia="zh-CN"/>
              </w:rPr>
              <w:t xml:space="preserve"> </w:t>
            </w:r>
          </w:p>
        </w:tc>
        <w:tc>
          <w:tcPr>
            <w:tcW w:w="1176" w:type="dxa"/>
            <w:shd w:val="clear" w:color="auto" w:fill="auto"/>
            <w:tcMar>
              <w:top w:w="120" w:type="dxa"/>
              <w:left w:w="192" w:type="dxa"/>
              <w:bottom w:w="120" w:type="dxa"/>
              <w:right w:w="192" w:type="dxa"/>
            </w:tcMar>
            <w:vAlign w:val="center"/>
          </w:tcPr>
          <w:p w14:paraId="56FAE7F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2025</w:t>
            </w:r>
            <w:r>
              <w:rPr>
                <w:rFonts w:hint="default" w:ascii="Segoe UI" w:hAnsi="Segoe UI" w:eastAsia="Segoe UI" w:cs="Segoe UI"/>
                <w:i w:val="0"/>
                <w:iCs w:val="0"/>
                <w:caps w:val="0"/>
                <w:snapToGrid w:val="0"/>
                <w:color w:val="000000"/>
                <w:spacing w:val="0"/>
                <w:kern w:val="0"/>
                <w:sz w:val="15"/>
                <w:szCs w:val="15"/>
                <w:lang w:val="en-US" w:eastAsia="zh-CN"/>
              </w:rPr>
              <w:t>年11月</w:t>
            </w:r>
          </w:p>
        </w:tc>
        <w:tc>
          <w:tcPr>
            <w:tcW w:w="800" w:type="dxa"/>
            <w:shd w:val="clear" w:color="auto" w:fill="auto"/>
            <w:tcMar>
              <w:top w:w="120" w:type="dxa"/>
              <w:left w:w="192" w:type="dxa"/>
              <w:bottom w:w="120" w:type="dxa"/>
              <w:right w:w="0" w:type="dxa"/>
            </w:tcMar>
            <w:vAlign w:val="center"/>
          </w:tcPr>
          <w:p w14:paraId="69F38151">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color w:val="0F1115"/>
                <w:spacing w:val="0"/>
                <w:sz w:val="15"/>
                <w:szCs w:val="15"/>
                <w:lang w:val="en-US"/>
              </w:rPr>
            </w:pPr>
            <w:r>
              <w:rPr>
                <w:rFonts w:hint="default" w:ascii="Segoe UI" w:hAnsi="Segoe UI" w:eastAsia="Segoe UI" w:cs="Segoe UI"/>
                <w:i w:val="0"/>
                <w:iCs w:val="0"/>
                <w:caps w:val="0"/>
                <w:color w:val="0F1115"/>
                <w:spacing w:val="0"/>
                <w:sz w:val="15"/>
                <w:szCs w:val="15"/>
              </w:rPr>
              <w:t>熊发云</w:t>
            </w:r>
          </w:p>
        </w:tc>
        <w:tc>
          <w:tcPr>
            <w:tcW w:w="1204" w:type="dxa"/>
            <w:shd w:val="clear" w:color="auto" w:fill="auto"/>
            <w:tcMar>
              <w:top w:w="120" w:type="dxa"/>
              <w:left w:w="192" w:type="dxa"/>
              <w:bottom w:w="120" w:type="dxa"/>
              <w:right w:w="0" w:type="dxa"/>
            </w:tcMar>
            <w:vAlign w:val="center"/>
          </w:tcPr>
          <w:p w14:paraId="5548469A">
            <w:pPr>
              <w:keepNext w:val="0"/>
              <w:keepLines w:val="0"/>
              <w:widowControl/>
              <w:suppressLineNumbers w:val="0"/>
              <w:snapToGrid w:val="0"/>
              <w:spacing w:line="240" w:lineRule="auto"/>
              <w:ind w:left="0" w:leftChars="0" w:right="0" w:rightChars="0" w:firstLine="0" w:firstLineChars="0"/>
              <w:jc w:val="both"/>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研发相关人员</w:t>
            </w:r>
          </w:p>
        </w:tc>
        <w:tc>
          <w:tcPr>
            <w:tcW w:w="820" w:type="dxa"/>
            <w:shd w:val="clear" w:color="auto" w:fill="auto"/>
            <w:tcMar>
              <w:top w:w="120" w:type="dxa"/>
              <w:left w:w="192" w:type="dxa"/>
              <w:bottom w:w="120" w:type="dxa"/>
              <w:right w:w="0" w:type="dxa"/>
            </w:tcMar>
            <w:vAlign w:val="center"/>
          </w:tcPr>
          <w:p w14:paraId="35ED2A8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bl>
    <w:p w14:paraId="448E4B7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3" w:name="_Toc5373"/>
      <w:r>
        <w:rPr>
          <w:rFonts w:hint="eastAsia"/>
          <w:lang w:val="en-US" w:eastAsia="zh-CN"/>
        </w:rPr>
        <w:t>人员绩效考核管理计划</w:t>
      </w:r>
      <w:bookmarkEnd w:id="22"/>
      <w:bookmarkEnd w:id="23"/>
    </w:p>
    <w:p w14:paraId="404E0A78">
      <w:pPr>
        <w:pStyle w:val="29"/>
        <w:bidi w:val="0"/>
        <w:rPr>
          <w:rFonts w:hint="eastAsia"/>
          <w:lang w:val="en-US" w:eastAsia="zh-CN"/>
        </w:rPr>
      </w:pPr>
      <w:r>
        <w:t>为实现公司战略目标的有效分解与承接，激发组织效能与员工价值创造活力，营造客观、公平、激励导向的绩效文化，特制定本绩效管理体系。该体系以量化指标为核心，紧密对齐业务转型与能力提升目标，通过建立清晰、透明的评价机制，将员工个人绩效、收入发展与公司整体经营成果深度绑定，共同驱动组织与人才的协同成长。</w:t>
      </w:r>
    </w:p>
    <w:p w14:paraId="1439F61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每季度对人员进行考核，要求绩效考核合格率达到95%以上</w:t>
      </w:r>
    </w:p>
    <w:p w14:paraId="0FD3EAB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4" w:name="_Toc5164"/>
      <w:bookmarkStart w:id="25" w:name="_Toc17912"/>
      <w:r>
        <w:rPr>
          <w:rFonts w:hint="eastAsia"/>
          <w:lang w:val="en-US" w:eastAsia="zh-CN"/>
        </w:rPr>
        <w:t>人员技能评定管理计划</w:t>
      </w:r>
      <w:bookmarkEnd w:id="24"/>
      <w:bookmarkEnd w:id="25"/>
    </w:p>
    <w:p w14:paraId="75A039EE">
      <w:pPr>
        <w:pStyle w:val="29"/>
        <w:bidi w:val="0"/>
      </w:pPr>
      <w:r>
        <w:rPr>
          <w:rFonts w:hint="default"/>
        </w:rPr>
        <w:t>为构建与公司战略发展相匹配的人才能力管理体系，打通“能力识别—薪酬激励—职业发展”一体化通道，并为人才引进、培养与任用提供科学依据，公司现制定岗位技能等级标准化评定机制。该机制通过建立系统化的技能标准与评估流程，实现员工能力的客观量化与动态管理。</w:t>
      </w:r>
    </w:p>
    <w:p w14:paraId="53C369AD">
      <w:pPr>
        <w:pStyle w:val="29"/>
        <w:bidi w:val="0"/>
        <w:rPr>
          <w:rFonts w:hint="default"/>
        </w:rPr>
      </w:pPr>
      <w:r>
        <w:rPr>
          <w:rFonts w:hint="default"/>
        </w:rPr>
        <w:t>在此基础上，公司将每年组织实施专业技能考核，推动员工能力持续提升，确保整体考核合格率不低于95%，从而保障人才队伍的能力供给与公司业务发展需求的有效衔接。</w:t>
      </w:r>
    </w:p>
    <w:p w14:paraId="305C2B7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6" w:name="_Toc19494"/>
      <w:r>
        <w:rPr>
          <w:rFonts w:hint="eastAsia"/>
          <w:lang w:val="en-US" w:eastAsia="zh-CN"/>
        </w:rPr>
        <w:t>资源管理计划</w:t>
      </w:r>
      <w:bookmarkEnd w:id="26"/>
    </w:p>
    <w:p w14:paraId="39AB111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7" w:name="_Toc24877"/>
      <w:r>
        <w:rPr>
          <w:rFonts w:hint="eastAsia"/>
          <w:lang w:val="en-US" w:eastAsia="zh-CN"/>
        </w:rPr>
        <w:t>运维工具管理计划</w:t>
      </w:r>
      <w:bookmarkEnd w:id="27"/>
    </w:p>
    <w:p w14:paraId="737BC199">
      <w:pPr>
        <w:pStyle w:val="29"/>
        <w:bidi w:val="0"/>
        <w:rPr>
          <w:rFonts w:hint="default"/>
        </w:rPr>
      </w:pPr>
      <w:r>
        <w:rPr>
          <w:rFonts w:hint="default"/>
        </w:rPr>
        <w:t>为有效管理与优化运维工具体系，支撑服务交付的效率与质量，公司建立了以数字化平台为核心的运维工具管理机制，并设定了明确的效能评估标准。该机制以年度为管理周期，核心考核指标为“年度工具自评估执行次数”，目标值为不少于1次。由数智运营部牵头，联合研究总院共同开展工具能力的系统性评估，审视其在协同效率、流程支持与数据集成等方面的表现，评估结果将直接作为工具功能优化、技术升级与资源配置调整的关键依据，确保运维工具持续贴合业务发展需求，为运维服务的标准化与智能化提供可靠支撑。</w:t>
      </w:r>
    </w:p>
    <w:p w14:paraId="230C658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8" w:name="_Toc4760"/>
      <w:r>
        <w:rPr>
          <w:rFonts w:hint="eastAsia"/>
          <w:lang w:val="en-US" w:eastAsia="zh-CN"/>
        </w:rPr>
        <w:t>服务台管理计划</w:t>
      </w:r>
      <w:bookmarkEnd w:id="28"/>
    </w:p>
    <w:p w14:paraId="38159828">
      <w:pPr>
        <w:pStyle w:val="29"/>
        <w:bidi w:val="0"/>
        <w:rPr>
          <w:rFonts w:hint="eastAsia"/>
          <w:lang w:val="en-US" w:eastAsia="zh-CN"/>
        </w:rPr>
      </w:pPr>
      <w:r>
        <w:t>为构建统一、高效、专业的服务接入与响应枢纽，公司已建立并持续优化服务台管理体系。本体系以服务台派单成功率为核心效能指标，要求该指标月度达成率不低于90%，以此确保客户请求能被准确识别、快速分派与有效闭环。数智运营部作为服务台的日常运营负责部门，需保障服务流程的规范执行与人员能力的持续提升；质量管理部则按月统计并分析该指标的达成情况，将评估结果直接纳入服务台团队及人员的绩效考核体系，并与流程优化、培训规划联动，形成“运营—监控—改进”的管理闭环，从而系统性提升服务响应质量、客户满意度与内部协作效率。</w:t>
      </w:r>
    </w:p>
    <w:p w14:paraId="06E94AB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9" w:name="_Toc14152"/>
      <w:r>
        <w:rPr>
          <w:rFonts w:hint="eastAsia"/>
          <w:lang w:val="en-US" w:eastAsia="zh-CN"/>
        </w:rPr>
        <w:t>服务知识管理计划</w:t>
      </w:r>
      <w:bookmarkEnd w:id="29"/>
    </w:p>
    <w:p w14:paraId="13870B47">
      <w:pPr>
        <w:pStyle w:val="29"/>
        <w:bidi w:val="0"/>
        <w:rPr>
          <w:rFonts w:hint="eastAsia"/>
          <w:lang w:val="en-US" w:eastAsia="zh-CN"/>
        </w:rPr>
      </w:pPr>
      <w:r>
        <w:t>为推动运维知识的有效沉淀、共享与复用，构建组织级的学习与赋能体系，公司已建立服务知识管理制度。该制度以</w:t>
      </w:r>
      <w:r>
        <w:rPr>
          <w:rFonts w:hint="eastAsia"/>
          <w:lang w:eastAsia="zh-CN"/>
        </w:rPr>
        <w:t>“</w:t>
      </w:r>
      <w:r>
        <w:t>新增知识条目</w:t>
      </w:r>
      <w:r>
        <w:rPr>
          <w:rFonts w:hint="eastAsia"/>
          <w:lang w:eastAsia="zh-CN"/>
        </w:rPr>
        <w:t>”</w:t>
      </w:r>
      <w:r>
        <w:t>作为核心衡量指标，</w:t>
      </w:r>
      <w:r>
        <w:rPr>
          <w:rFonts w:hint="eastAsia"/>
          <w:lang w:val="en-US" w:eastAsia="zh-CN"/>
        </w:rPr>
        <w:t>要求</w:t>
      </w:r>
      <w:r>
        <w:t>季度</w:t>
      </w:r>
      <w:r>
        <w:rPr>
          <w:rFonts w:hint="eastAsia"/>
          <w:lang w:val="en-US" w:eastAsia="zh-CN"/>
        </w:rPr>
        <w:t>新增知识条目</w:t>
      </w:r>
      <w:r>
        <w:t>不少于10条的目标值，旨在确保知识资产的活跃度与持续丰富。服务台团队负责知识的日常采集、结构化录入与应用推广，数智运营部则负责知识体系的维护与分类优化。质量管理部将按月、按季度对上述指标进行统计与分析，评估结果与服务台团队绩效考核挂钩，并作为知识管理机制优化、培训内容开发及问题解决能力提升的重要依据，从而形成知识积累与业务增效相互促进的良性循环。</w:t>
      </w:r>
    </w:p>
    <w:p w14:paraId="4B548CF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0" w:name="_Toc16150"/>
      <w:r>
        <w:rPr>
          <w:rFonts w:hint="eastAsia"/>
          <w:lang w:val="en-US" w:eastAsia="zh-CN"/>
        </w:rPr>
        <w:t>最终软件库管理计划</w:t>
      </w:r>
      <w:bookmarkEnd w:id="30"/>
    </w:p>
    <w:p w14:paraId="57BB6D6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保障软件资产的一致性、合规性与可追溯性，公司建立了最终软件库管理体系。该体系以“软件合规性审计次数”为核心管控指标，要求每半年至少完成1次全面审计，确保软件版本的合规使用与统一管理。研究总院作为责任部门，负责软件库的版本控制、入库审核与日常维护工作，确保软件资产信息的准确性与完整性。质量管理部依据审计结果进行评估，其结果将作为发布管理流程优化、软件治理策略调整以及供应商合规管理的重要依据。通过持续的审计与改进，本体系致力于降低软件部署风险、提升系统稳定性，并为运维服务的可靠交付提供坚实的软件资产基础。</w:t>
      </w:r>
    </w:p>
    <w:p w14:paraId="5C22AAF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1" w:name="_Toc9214"/>
      <w:r>
        <w:rPr>
          <w:rFonts w:hint="eastAsia"/>
          <w:lang w:val="en-US" w:eastAsia="zh-CN"/>
        </w:rPr>
        <w:t>服务数据管理计划</w:t>
      </w:r>
      <w:bookmarkEnd w:id="31"/>
    </w:p>
    <w:p w14:paraId="68A0DF1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为充分发挥服务数据的决策支持与过程优化价值，公司建立了服务数据管理体系。该体系以“服务数据分析利用次数”为核心效能指标，要求每季度至少完成</w:t>
      </w:r>
      <w:r>
        <w:rPr>
          <w:rFonts w:hint="eastAsia"/>
          <w:lang w:val="en-US" w:eastAsia="zh-CN"/>
        </w:rPr>
        <w:t>1</w:t>
      </w:r>
      <w:r>
        <w:rPr>
          <w:rFonts w:hint="default"/>
          <w:lang w:val="en-US" w:eastAsia="zh-CN"/>
        </w:rPr>
        <w:t>次深度数据分析与业务应用，确保数据从采集到价值转化的闭环管理。数智运营部负责服务数据的规范录入、整合维护与分析建模，形成可供业务洞察的数据资产。质量管理部按季度对数据分析成果的应用成效进行评估，其结果将纳入运维团队绩效考核，并作为数据治理策略优化、服务质量改进及管理决策科学化的重要依据，推动公司从数据支撑向数据驱动服务升级的系统性转变。</w:t>
      </w:r>
    </w:p>
    <w:p w14:paraId="7EC0B07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2" w:name="_Toc9850"/>
      <w:r>
        <w:rPr>
          <w:rFonts w:hint="eastAsia"/>
          <w:lang w:val="en-US" w:eastAsia="zh-CN"/>
        </w:rPr>
        <w:t>技术管理计划</w:t>
      </w:r>
      <w:bookmarkEnd w:id="32"/>
    </w:p>
    <w:p w14:paraId="4E5AC70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聚焦于构建智能化、体系化的运维技术能力，重点推进三个核心方向：一是开发智能公告中心与实时满意度分析模块，以提升管理信息传达效率与服务体验感知能力；二是开展运维手册标准化研发与知识库功能强化，促进运维知识的系统化沉淀与场景化复用；三是启动智能运维（AIOps）与流程自动化等新技术的探索性研究，为服务模式的创新演进进行前瞻性技术储备。通过上述工作的协同开展，旨在为运维服务向数字化、智能化转型提供坚实的技术支撑。</w:t>
      </w:r>
    </w:p>
    <w:p w14:paraId="0B2D28B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3" w:name="_Toc22744"/>
      <w:r>
        <w:rPr>
          <w:rFonts w:hint="eastAsia"/>
          <w:lang w:val="en-US" w:eastAsia="zh-CN"/>
        </w:rPr>
        <w:t>运维工具二次开发</w:t>
      </w:r>
      <w:bookmarkEnd w:id="33"/>
    </w:p>
    <w:p w14:paraId="6723DCF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 xml:space="preserve"> 研发进度表</w:t>
      </w:r>
    </w:p>
    <w:tbl>
      <w:tblPr>
        <w:tblStyle w:val="20"/>
        <w:tblW w:w="852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74"/>
        <w:gridCol w:w="2764"/>
        <w:gridCol w:w="4185"/>
      </w:tblGrid>
      <w:tr w14:paraId="3F237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574" w:type="dxa"/>
            <w:tcBorders>
              <w:top w:val="single" w:color="auto" w:sz="12" w:space="0"/>
              <w:left w:val="single" w:color="auto" w:sz="12" w:space="0"/>
              <w:bottom w:val="single" w:color="auto" w:sz="4" w:space="0"/>
              <w:right w:val="single" w:color="auto" w:sz="4" w:space="0"/>
            </w:tcBorders>
            <w:shd w:val="clear" w:color="auto" w:fill="FFFFFF"/>
            <w:tcMar>
              <w:top w:w="120" w:type="dxa"/>
              <w:left w:w="0" w:type="dxa"/>
              <w:bottom w:w="120" w:type="dxa"/>
              <w:right w:w="192" w:type="dxa"/>
            </w:tcMar>
            <w:vAlign w:val="center"/>
          </w:tcPr>
          <w:p w14:paraId="520E7420">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研发阶段</w:t>
            </w:r>
          </w:p>
        </w:tc>
        <w:tc>
          <w:tcPr>
            <w:tcW w:w="2764" w:type="dxa"/>
            <w:tcBorders>
              <w:top w:val="single" w:color="auto" w:sz="12"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2A17D12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计划时间</w:t>
            </w:r>
          </w:p>
        </w:tc>
        <w:tc>
          <w:tcPr>
            <w:tcW w:w="4185" w:type="dxa"/>
            <w:tcBorders>
              <w:top w:val="single" w:color="auto" w:sz="12" w:space="0"/>
              <w:left w:val="single" w:color="auto" w:sz="4" w:space="0"/>
              <w:bottom w:val="single" w:color="auto" w:sz="4" w:space="0"/>
              <w:right w:val="single" w:color="auto" w:sz="12" w:space="0"/>
            </w:tcBorders>
            <w:shd w:val="clear" w:color="auto" w:fill="FFFFFF"/>
            <w:tcMar>
              <w:top w:w="120" w:type="dxa"/>
              <w:left w:w="192" w:type="dxa"/>
              <w:bottom w:w="120" w:type="dxa"/>
              <w:right w:w="192" w:type="dxa"/>
            </w:tcMar>
            <w:vAlign w:val="center"/>
          </w:tcPr>
          <w:p w14:paraId="1274652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主要工作内容</w:t>
            </w:r>
          </w:p>
        </w:tc>
      </w:tr>
      <w:tr w14:paraId="1EC787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74" w:type="dxa"/>
            <w:tcBorders>
              <w:top w:val="single" w:color="auto" w:sz="4" w:space="0"/>
              <w:left w:val="single" w:color="auto" w:sz="12" w:space="0"/>
              <w:bottom w:val="single" w:color="auto" w:sz="4" w:space="0"/>
              <w:right w:val="single" w:color="auto" w:sz="4" w:space="0"/>
            </w:tcBorders>
            <w:shd w:val="clear" w:color="auto" w:fill="FFFFFF"/>
            <w:tcMar>
              <w:top w:w="120" w:type="dxa"/>
              <w:left w:w="0" w:type="dxa"/>
              <w:bottom w:w="120" w:type="dxa"/>
              <w:right w:w="192" w:type="dxa"/>
            </w:tcMar>
            <w:vAlign w:val="center"/>
          </w:tcPr>
          <w:p w14:paraId="0AC46B9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第一阶段：需求分析与平台设计</w:t>
            </w:r>
          </w:p>
        </w:tc>
        <w:tc>
          <w:tcPr>
            <w:tcW w:w="2764"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3CC6EEA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lang w:val="en-US"/>
              </w:rPr>
            </w:pPr>
            <w:r>
              <w:rPr>
                <w:rStyle w:val="23"/>
                <w:rFonts w:hint="default" w:ascii="Segoe UI" w:hAnsi="Segoe UI" w:eastAsia="Segoe UI" w:cs="Segoe UI"/>
                <w:b/>
                <w:bCs/>
                <w:i w:val="0"/>
                <w:iCs w:val="0"/>
                <w:caps w:val="0"/>
                <w:snapToGrid w:val="0"/>
                <w:color w:val="000000"/>
                <w:spacing w:val="0"/>
                <w:kern w:val="0"/>
                <w:sz w:val="18"/>
                <w:szCs w:val="18"/>
                <w:lang w:val="en-US" w:eastAsia="zh-CN"/>
              </w:rPr>
              <w:t>2025年</w:t>
            </w:r>
            <w:r>
              <w:rPr>
                <w:rStyle w:val="23"/>
                <w:rFonts w:hint="eastAsia" w:ascii="Segoe UI" w:hAnsi="Segoe UI" w:eastAsia="Segoe UI" w:cs="Segoe UI"/>
                <w:b/>
                <w:bCs/>
                <w:i w:val="0"/>
                <w:iCs w:val="0"/>
                <w:caps w:val="0"/>
                <w:snapToGrid w:val="0"/>
                <w:color w:val="000000"/>
                <w:spacing w:val="0"/>
                <w:kern w:val="0"/>
                <w:sz w:val="18"/>
                <w:szCs w:val="18"/>
                <w:lang w:val="en-US" w:eastAsia="zh-CN"/>
              </w:rPr>
              <w:t>1-3月</w:t>
            </w:r>
          </w:p>
        </w:tc>
        <w:tc>
          <w:tcPr>
            <w:tcW w:w="4185" w:type="dxa"/>
            <w:tcBorders>
              <w:top w:val="single" w:color="auto" w:sz="4" w:space="0"/>
              <w:left w:val="single" w:color="auto" w:sz="4" w:space="0"/>
              <w:bottom w:val="single" w:color="auto" w:sz="4" w:space="0"/>
              <w:right w:val="single" w:color="auto" w:sz="12" w:space="0"/>
            </w:tcBorders>
            <w:shd w:val="clear" w:color="auto" w:fill="FFFFFF"/>
            <w:tcMar>
              <w:top w:w="120" w:type="dxa"/>
              <w:left w:w="192" w:type="dxa"/>
              <w:bottom w:w="120" w:type="dxa"/>
              <w:right w:w="0" w:type="dxa"/>
            </w:tcMar>
            <w:vAlign w:val="center"/>
          </w:tcPr>
          <w:p w14:paraId="67C5D9B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完成服务知识管理与客户满意度两大核心模块的深度业务调研；输出产品原型与交互设计；完成整体技术架构方案评审。</w:t>
            </w:r>
          </w:p>
        </w:tc>
      </w:tr>
      <w:tr w14:paraId="04FC1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574" w:type="dxa"/>
            <w:tcBorders>
              <w:top w:val="single" w:color="auto" w:sz="4" w:space="0"/>
              <w:left w:val="single" w:color="auto" w:sz="12" w:space="0"/>
              <w:bottom w:val="single" w:color="auto" w:sz="4" w:space="0"/>
              <w:right w:val="single" w:color="auto" w:sz="4" w:space="0"/>
            </w:tcBorders>
            <w:shd w:val="clear" w:color="auto" w:fill="FFFFFF"/>
            <w:tcMar>
              <w:top w:w="120" w:type="dxa"/>
              <w:left w:w="0" w:type="dxa"/>
              <w:bottom w:w="120" w:type="dxa"/>
              <w:right w:w="192" w:type="dxa"/>
            </w:tcMar>
            <w:vAlign w:val="center"/>
          </w:tcPr>
          <w:p w14:paraId="7C02CFD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第二阶段：核心功能开发</w:t>
            </w:r>
          </w:p>
        </w:tc>
        <w:tc>
          <w:tcPr>
            <w:tcW w:w="2764"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3ACF931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lang w:val="en-US"/>
              </w:rPr>
            </w:pPr>
            <w:r>
              <w:rPr>
                <w:rStyle w:val="23"/>
                <w:rFonts w:hint="default" w:ascii="Segoe UI" w:hAnsi="Segoe UI" w:eastAsia="Segoe UI" w:cs="Segoe UI"/>
                <w:b/>
                <w:bCs/>
                <w:i w:val="0"/>
                <w:iCs w:val="0"/>
                <w:caps w:val="0"/>
                <w:snapToGrid w:val="0"/>
                <w:color w:val="000000"/>
                <w:spacing w:val="0"/>
                <w:kern w:val="0"/>
                <w:sz w:val="18"/>
                <w:szCs w:val="18"/>
                <w:lang w:val="en-US" w:eastAsia="zh-CN"/>
              </w:rPr>
              <w:t>2025年</w:t>
            </w:r>
            <w:r>
              <w:rPr>
                <w:rStyle w:val="23"/>
                <w:rFonts w:hint="eastAsia" w:ascii="Segoe UI" w:hAnsi="Segoe UI" w:eastAsia="Segoe UI" w:cs="Segoe UI"/>
                <w:b/>
                <w:bCs/>
                <w:i w:val="0"/>
                <w:iCs w:val="0"/>
                <w:caps w:val="0"/>
                <w:snapToGrid w:val="0"/>
                <w:color w:val="000000"/>
                <w:spacing w:val="0"/>
                <w:kern w:val="0"/>
                <w:sz w:val="18"/>
                <w:szCs w:val="18"/>
                <w:lang w:val="en-US" w:eastAsia="zh-CN"/>
              </w:rPr>
              <w:t>4-6月</w:t>
            </w:r>
          </w:p>
        </w:tc>
        <w:tc>
          <w:tcPr>
            <w:tcW w:w="4185" w:type="dxa"/>
            <w:tcBorders>
              <w:top w:val="single" w:color="auto" w:sz="4" w:space="0"/>
              <w:left w:val="single" w:color="auto" w:sz="4" w:space="0"/>
              <w:bottom w:val="single" w:color="auto" w:sz="4" w:space="0"/>
              <w:right w:val="single" w:color="auto" w:sz="12" w:space="0"/>
            </w:tcBorders>
            <w:shd w:val="clear" w:color="auto" w:fill="FFFFFF"/>
            <w:tcMar>
              <w:top w:w="120" w:type="dxa"/>
              <w:left w:w="192" w:type="dxa"/>
              <w:bottom w:w="120" w:type="dxa"/>
              <w:right w:w="0" w:type="dxa"/>
            </w:tcMar>
            <w:vAlign w:val="center"/>
          </w:tcPr>
          <w:p w14:paraId="6A4D15B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完成 服务知识 的基础管理功能与检索功能开发。完成 客户满意度模块 中调查项配置与问卷手动发放功能的核心开发。</w:t>
            </w:r>
          </w:p>
        </w:tc>
      </w:tr>
      <w:tr w14:paraId="11CFF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74" w:type="dxa"/>
            <w:tcBorders>
              <w:top w:val="single" w:color="auto" w:sz="4" w:space="0"/>
              <w:left w:val="single" w:color="auto" w:sz="12" w:space="0"/>
              <w:bottom w:val="single" w:color="auto" w:sz="4" w:space="0"/>
              <w:right w:val="single" w:color="auto" w:sz="4" w:space="0"/>
            </w:tcBorders>
            <w:shd w:val="clear" w:color="auto" w:fill="FFFFFF"/>
            <w:tcMar>
              <w:top w:w="120" w:type="dxa"/>
              <w:left w:w="0" w:type="dxa"/>
              <w:bottom w:w="120" w:type="dxa"/>
              <w:right w:w="192" w:type="dxa"/>
            </w:tcMar>
            <w:vAlign w:val="center"/>
          </w:tcPr>
          <w:p w14:paraId="2F9C047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第三阶段：智能功能与数据分析开发</w:t>
            </w:r>
          </w:p>
        </w:tc>
        <w:tc>
          <w:tcPr>
            <w:tcW w:w="2764"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3B39CEC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lang w:val="en-US"/>
              </w:rPr>
            </w:pPr>
            <w:r>
              <w:rPr>
                <w:rStyle w:val="23"/>
                <w:rFonts w:hint="default" w:ascii="Segoe UI" w:hAnsi="Segoe UI" w:eastAsia="Segoe UI" w:cs="Segoe UI"/>
                <w:b/>
                <w:bCs/>
                <w:i w:val="0"/>
                <w:iCs w:val="0"/>
                <w:caps w:val="0"/>
                <w:snapToGrid w:val="0"/>
                <w:color w:val="000000"/>
                <w:spacing w:val="0"/>
                <w:kern w:val="0"/>
                <w:sz w:val="18"/>
                <w:szCs w:val="18"/>
                <w:lang w:val="en-US" w:eastAsia="zh-CN"/>
              </w:rPr>
              <w:t>2025年</w:t>
            </w:r>
            <w:r>
              <w:rPr>
                <w:rStyle w:val="23"/>
                <w:rFonts w:hint="eastAsia" w:ascii="Segoe UI" w:hAnsi="Segoe UI" w:eastAsia="Segoe UI" w:cs="Segoe UI"/>
                <w:b/>
                <w:bCs/>
                <w:i w:val="0"/>
                <w:iCs w:val="0"/>
                <w:caps w:val="0"/>
                <w:snapToGrid w:val="0"/>
                <w:color w:val="000000"/>
                <w:spacing w:val="0"/>
                <w:kern w:val="0"/>
                <w:sz w:val="18"/>
                <w:szCs w:val="18"/>
                <w:lang w:val="en-US" w:eastAsia="zh-CN"/>
              </w:rPr>
              <w:t>7-9月</w:t>
            </w:r>
          </w:p>
        </w:tc>
        <w:tc>
          <w:tcPr>
            <w:tcW w:w="4185" w:type="dxa"/>
            <w:tcBorders>
              <w:top w:val="single" w:color="auto" w:sz="4" w:space="0"/>
              <w:left w:val="single" w:color="auto" w:sz="4" w:space="0"/>
              <w:bottom w:val="single" w:color="auto" w:sz="4" w:space="0"/>
              <w:right w:val="single" w:color="auto" w:sz="12" w:space="0"/>
            </w:tcBorders>
            <w:shd w:val="clear" w:color="auto" w:fill="FFFFFF"/>
            <w:tcMar>
              <w:top w:w="120" w:type="dxa"/>
              <w:left w:w="192" w:type="dxa"/>
              <w:bottom w:w="120" w:type="dxa"/>
              <w:right w:w="0" w:type="dxa"/>
            </w:tcMar>
            <w:vAlign w:val="center"/>
          </w:tcPr>
          <w:p w14:paraId="207B82D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深化知识库智能关联与应用功能。完成满意度问卷结果的自动汇总、统计分析功能以及外部数据导入接口的开发。启动服务价值可视化报表模块的设计与基础开发。</w:t>
            </w:r>
          </w:p>
        </w:tc>
      </w:tr>
      <w:tr w14:paraId="22F5C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74" w:type="dxa"/>
            <w:tcBorders>
              <w:top w:val="single" w:color="auto" w:sz="4" w:space="0"/>
              <w:left w:val="single" w:color="auto" w:sz="12" w:space="0"/>
              <w:bottom w:val="single" w:color="auto" w:sz="12" w:space="0"/>
              <w:right w:val="single" w:color="auto" w:sz="4" w:space="0"/>
            </w:tcBorders>
            <w:shd w:val="clear" w:color="auto" w:fill="FFFFFF"/>
            <w:tcMar>
              <w:top w:w="120" w:type="dxa"/>
              <w:left w:w="0" w:type="dxa"/>
              <w:bottom w:w="120" w:type="dxa"/>
              <w:right w:w="192" w:type="dxa"/>
            </w:tcMar>
            <w:vAlign w:val="center"/>
          </w:tcPr>
          <w:p w14:paraId="330CF3E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第四阶段：系统集成、测试与试点运行</w:t>
            </w:r>
          </w:p>
        </w:tc>
        <w:tc>
          <w:tcPr>
            <w:tcW w:w="2764" w:type="dxa"/>
            <w:tcBorders>
              <w:top w:val="single" w:color="auto" w:sz="4" w:space="0"/>
              <w:left w:val="single" w:color="auto" w:sz="4" w:space="0"/>
              <w:bottom w:val="single" w:color="auto" w:sz="12" w:space="0"/>
              <w:right w:val="single" w:color="auto" w:sz="4" w:space="0"/>
            </w:tcBorders>
            <w:shd w:val="clear" w:color="auto" w:fill="FFFFFF"/>
            <w:tcMar>
              <w:top w:w="120" w:type="dxa"/>
              <w:left w:w="192" w:type="dxa"/>
              <w:bottom w:w="120" w:type="dxa"/>
              <w:right w:w="192" w:type="dxa"/>
            </w:tcMar>
            <w:vAlign w:val="center"/>
          </w:tcPr>
          <w:p w14:paraId="40D4799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lang w:val="en-US"/>
              </w:rPr>
            </w:pPr>
            <w:r>
              <w:rPr>
                <w:rStyle w:val="23"/>
                <w:rFonts w:hint="default" w:ascii="Segoe UI" w:hAnsi="Segoe UI" w:eastAsia="Segoe UI" w:cs="Segoe UI"/>
                <w:b/>
                <w:bCs/>
                <w:i w:val="0"/>
                <w:iCs w:val="0"/>
                <w:caps w:val="0"/>
                <w:snapToGrid w:val="0"/>
                <w:color w:val="000000"/>
                <w:spacing w:val="0"/>
                <w:kern w:val="0"/>
                <w:sz w:val="18"/>
                <w:szCs w:val="18"/>
                <w:lang w:val="en-US" w:eastAsia="zh-CN"/>
              </w:rPr>
              <w:t>2025年</w:t>
            </w:r>
            <w:r>
              <w:rPr>
                <w:rStyle w:val="23"/>
                <w:rFonts w:hint="eastAsia" w:ascii="Segoe UI" w:hAnsi="Segoe UI" w:eastAsia="Segoe UI" w:cs="Segoe UI"/>
                <w:b/>
                <w:bCs/>
                <w:i w:val="0"/>
                <w:iCs w:val="0"/>
                <w:caps w:val="0"/>
                <w:snapToGrid w:val="0"/>
                <w:color w:val="000000"/>
                <w:spacing w:val="0"/>
                <w:kern w:val="0"/>
                <w:sz w:val="18"/>
                <w:szCs w:val="18"/>
                <w:lang w:val="en-US" w:eastAsia="zh-CN"/>
              </w:rPr>
              <w:t>10月</w:t>
            </w:r>
          </w:p>
        </w:tc>
        <w:tc>
          <w:tcPr>
            <w:tcW w:w="4185" w:type="dxa"/>
            <w:tcBorders>
              <w:top w:val="single" w:color="auto" w:sz="4" w:space="0"/>
              <w:left w:val="single" w:color="auto" w:sz="4" w:space="0"/>
              <w:bottom w:val="single" w:color="auto" w:sz="12" w:space="0"/>
              <w:right w:val="single" w:color="auto" w:sz="12" w:space="0"/>
            </w:tcBorders>
            <w:shd w:val="clear" w:color="auto" w:fill="FFFFFF"/>
            <w:tcMar>
              <w:top w:w="120" w:type="dxa"/>
              <w:left w:w="192" w:type="dxa"/>
              <w:bottom w:w="120" w:type="dxa"/>
              <w:right w:w="0" w:type="dxa"/>
            </w:tcMar>
            <w:vAlign w:val="center"/>
          </w:tcPr>
          <w:p w14:paraId="5A9A75C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进行各模块间的系统集成测试、性能优化及安全测试。</w:t>
            </w:r>
            <w:r>
              <w:rPr>
                <w:rFonts w:hint="eastAsia" w:ascii="Segoe UI" w:hAnsi="Segoe UI" w:eastAsia="Segoe UI" w:cs="Segoe UI"/>
                <w:i w:val="0"/>
                <w:iCs w:val="0"/>
                <w:caps w:val="0"/>
                <w:snapToGrid w:val="0"/>
                <w:color w:val="000000"/>
                <w:spacing w:val="0"/>
                <w:kern w:val="0"/>
                <w:sz w:val="18"/>
                <w:szCs w:val="18"/>
                <w:lang w:val="en-US" w:eastAsia="zh-CN"/>
              </w:rPr>
              <w:t>在数智运维部</w:t>
            </w:r>
            <w:r>
              <w:rPr>
                <w:rFonts w:hint="default" w:ascii="Segoe UI" w:hAnsi="Segoe UI" w:eastAsia="Segoe UI" w:cs="Segoe UI"/>
                <w:i w:val="0"/>
                <w:iCs w:val="0"/>
                <w:caps w:val="0"/>
                <w:snapToGrid w:val="0"/>
                <w:color w:val="000000"/>
                <w:spacing w:val="0"/>
                <w:kern w:val="0"/>
                <w:sz w:val="18"/>
                <w:szCs w:val="18"/>
                <w:lang w:val="en-US" w:eastAsia="zh-CN"/>
              </w:rPr>
              <w:t>试点运行，收集一线反馈，为全面推广做准备。</w:t>
            </w:r>
          </w:p>
        </w:tc>
      </w:tr>
    </w:tbl>
    <w:p w14:paraId="4E0CC58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p w14:paraId="4B9B0E0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4" w:name="_Toc27640"/>
      <w:r>
        <w:rPr>
          <w:rFonts w:hint="eastAsia"/>
          <w:lang w:val="en-US" w:eastAsia="zh-CN"/>
        </w:rPr>
        <w:t>运维手册研发</w:t>
      </w:r>
      <w:bookmarkEnd w:id="34"/>
    </w:p>
    <w:p w14:paraId="2A0AE81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 xml:space="preserve"> 运维手册研发计划表</w:t>
      </w:r>
    </w:p>
    <w:tbl>
      <w:tblPr>
        <w:tblStyle w:val="20"/>
        <w:tblW w:w="8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27"/>
        <w:gridCol w:w="1562"/>
        <w:gridCol w:w="1665"/>
        <w:gridCol w:w="2831"/>
        <w:gridCol w:w="908"/>
        <w:gridCol w:w="1003"/>
      </w:tblGrid>
      <w:tr w14:paraId="73D3C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527" w:type="dxa"/>
            <w:shd w:val="clear" w:color="auto" w:fill="auto"/>
            <w:tcMar>
              <w:top w:w="120" w:type="dxa"/>
              <w:left w:w="0" w:type="dxa"/>
              <w:bottom w:w="120" w:type="dxa"/>
              <w:right w:w="192" w:type="dxa"/>
            </w:tcMar>
            <w:vAlign w:val="center"/>
          </w:tcPr>
          <w:p w14:paraId="1498CA8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编号</w:t>
            </w:r>
          </w:p>
        </w:tc>
        <w:tc>
          <w:tcPr>
            <w:tcW w:w="1562" w:type="dxa"/>
            <w:shd w:val="clear" w:color="auto" w:fill="auto"/>
            <w:tcMar>
              <w:top w:w="120" w:type="dxa"/>
              <w:left w:w="192" w:type="dxa"/>
              <w:bottom w:w="120" w:type="dxa"/>
              <w:right w:w="192" w:type="dxa"/>
            </w:tcMar>
            <w:vAlign w:val="center"/>
          </w:tcPr>
          <w:p w14:paraId="002A702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手册类别</w:t>
            </w:r>
          </w:p>
        </w:tc>
        <w:tc>
          <w:tcPr>
            <w:tcW w:w="1665" w:type="dxa"/>
            <w:shd w:val="clear" w:color="auto" w:fill="auto"/>
            <w:tcMar>
              <w:top w:w="120" w:type="dxa"/>
              <w:left w:w="192" w:type="dxa"/>
              <w:bottom w:w="120" w:type="dxa"/>
              <w:right w:w="192" w:type="dxa"/>
            </w:tcMar>
            <w:vAlign w:val="center"/>
          </w:tcPr>
          <w:p w14:paraId="0EDA585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手册名称</w:t>
            </w:r>
          </w:p>
        </w:tc>
        <w:tc>
          <w:tcPr>
            <w:tcW w:w="2831" w:type="dxa"/>
            <w:shd w:val="clear" w:color="auto" w:fill="auto"/>
            <w:tcMar>
              <w:top w:w="120" w:type="dxa"/>
              <w:left w:w="192" w:type="dxa"/>
              <w:bottom w:w="120" w:type="dxa"/>
              <w:right w:w="192" w:type="dxa"/>
            </w:tcMar>
            <w:vAlign w:val="center"/>
          </w:tcPr>
          <w:p w14:paraId="4877D55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主要内容</w:t>
            </w:r>
          </w:p>
        </w:tc>
        <w:tc>
          <w:tcPr>
            <w:tcW w:w="908" w:type="dxa"/>
            <w:shd w:val="clear" w:color="auto" w:fill="auto"/>
            <w:tcMar>
              <w:top w:w="120" w:type="dxa"/>
              <w:left w:w="192" w:type="dxa"/>
              <w:bottom w:w="120" w:type="dxa"/>
              <w:right w:w="192" w:type="dxa"/>
            </w:tcMar>
            <w:vAlign w:val="center"/>
          </w:tcPr>
          <w:p w14:paraId="6AFEB12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责任部门</w:t>
            </w:r>
          </w:p>
        </w:tc>
        <w:tc>
          <w:tcPr>
            <w:tcW w:w="1003" w:type="dxa"/>
            <w:shd w:val="clear" w:color="auto" w:fill="auto"/>
            <w:tcMar>
              <w:top w:w="120" w:type="dxa"/>
              <w:left w:w="192" w:type="dxa"/>
              <w:bottom w:w="120" w:type="dxa"/>
              <w:right w:w="192" w:type="dxa"/>
            </w:tcMar>
            <w:vAlign w:val="center"/>
          </w:tcPr>
          <w:p w14:paraId="12117A7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计划完成时间</w:t>
            </w:r>
          </w:p>
        </w:tc>
      </w:tr>
      <w:tr w14:paraId="6F780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27" w:type="dxa"/>
            <w:shd w:val="clear" w:color="auto" w:fill="auto"/>
            <w:tcMar>
              <w:top w:w="120" w:type="dxa"/>
              <w:left w:w="0" w:type="dxa"/>
              <w:bottom w:w="120" w:type="dxa"/>
              <w:right w:w="192" w:type="dxa"/>
            </w:tcMar>
            <w:vAlign w:val="center"/>
          </w:tcPr>
          <w:p w14:paraId="7A23F5D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1562" w:type="dxa"/>
            <w:shd w:val="clear" w:color="auto" w:fill="auto"/>
            <w:tcMar>
              <w:top w:w="120" w:type="dxa"/>
              <w:left w:w="192" w:type="dxa"/>
              <w:bottom w:w="120" w:type="dxa"/>
              <w:right w:w="192" w:type="dxa"/>
            </w:tcMar>
            <w:vAlign w:val="center"/>
          </w:tcPr>
          <w:p w14:paraId="6BB5B14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运维文档</w:t>
            </w:r>
          </w:p>
        </w:tc>
        <w:tc>
          <w:tcPr>
            <w:tcW w:w="1665" w:type="dxa"/>
            <w:shd w:val="clear" w:color="auto" w:fill="auto"/>
            <w:tcMar>
              <w:top w:w="120" w:type="dxa"/>
              <w:left w:w="192" w:type="dxa"/>
              <w:bottom w:w="120" w:type="dxa"/>
              <w:right w:w="192" w:type="dxa"/>
            </w:tcMar>
            <w:vAlign w:val="center"/>
          </w:tcPr>
          <w:p w14:paraId="0E8BB97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《财务机器人系列运维手册》</w:t>
            </w:r>
          </w:p>
        </w:tc>
        <w:tc>
          <w:tcPr>
            <w:tcW w:w="2831" w:type="dxa"/>
            <w:shd w:val="clear" w:color="auto" w:fill="auto"/>
            <w:tcMar>
              <w:top w:w="120" w:type="dxa"/>
              <w:left w:w="192" w:type="dxa"/>
              <w:bottom w:w="120" w:type="dxa"/>
              <w:right w:w="192" w:type="dxa"/>
            </w:tcMar>
            <w:vAlign w:val="center"/>
          </w:tcPr>
          <w:p w14:paraId="5D7C5BC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涵盖往来核销、报表自动化等各财务机器人的部署、配置、日常操作、监控及常见故障处理指南。</w:t>
            </w:r>
          </w:p>
        </w:tc>
        <w:tc>
          <w:tcPr>
            <w:tcW w:w="908" w:type="dxa"/>
            <w:shd w:val="clear" w:color="auto" w:fill="auto"/>
            <w:tcMar>
              <w:top w:w="120" w:type="dxa"/>
              <w:left w:w="192" w:type="dxa"/>
              <w:bottom w:w="120" w:type="dxa"/>
              <w:right w:w="192" w:type="dxa"/>
            </w:tcMar>
            <w:vAlign w:val="center"/>
          </w:tcPr>
          <w:p w14:paraId="3DE94A5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数智运营部、研究总院</w:t>
            </w:r>
          </w:p>
        </w:tc>
        <w:tc>
          <w:tcPr>
            <w:tcW w:w="1003" w:type="dxa"/>
            <w:shd w:val="clear" w:color="auto" w:fill="auto"/>
            <w:tcMar>
              <w:top w:w="120" w:type="dxa"/>
              <w:left w:w="192" w:type="dxa"/>
              <w:bottom w:w="120" w:type="dxa"/>
              <w:right w:w="0" w:type="dxa"/>
            </w:tcMar>
            <w:vAlign w:val="center"/>
          </w:tcPr>
          <w:p w14:paraId="5D704C8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lang w:val="en-US"/>
              </w:rPr>
            </w:pPr>
            <w:r>
              <w:rPr>
                <w:rFonts w:hint="default" w:ascii="Segoe UI" w:hAnsi="Segoe UI" w:eastAsia="Segoe UI" w:cs="Segoe UI"/>
                <w:i w:val="0"/>
                <w:iCs w:val="0"/>
                <w:caps w:val="0"/>
                <w:snapToGrid w:val="0"/>
                <w:color w:val="000000"/>
                <w:spacing w:val="0"/>
                <w:kern w:val="0"/>
                <w:sz w:val="18"/>
                <w:szCs w:val="18"/>
                <w:lang w:val="en-US" w:eastAsia="zh-CN"/>
              </w:rPr>
              <w:t>2025年Q</w:t>
            </w:r>
            <w:r>
              <w:rPr>
                <w:rFonts w:hint="eastAsia" w:ascii="Segoe UI" w:hAnsi="Segoe UI" w:eastAsia="Segoe UI" w:cs="Segoe UI"/>
                <w:i w:val="0"/>
                <w:iCs w:val="0"/>
                <w:caps w:val="0"/>
                <w:snapToGrid w:val="0"/>
                <w:color w:val="000000"/>
                <w:spacing w:val="0"/>
                <w:kern w:val="0"/>
                <w:sz w:val="18"/>
                <w:szCs w:val="18"/>
                <w:lang w:val="en-US" w:eastAsia="zh-CN"/>
              </w:rPr>
              <w:t>1</w:t>
            </w:r>
          </w:p>
        </w:tc>
      </w:tr>
      <w:tr w14:paraId="46CBF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27" w:type="dxa"/>
            <w:shd w:val="clear" w:color="auto" w:fill="auto"/>
            <w:tcMar>
              <w:top w:w="120" w:type="dxa"/>
              <w:left w:w="0" w:type="dxa"/>
              <w:bottom w:w="120" w:type="dxa"/>
              <w:right w:w="192" w:type="dxa"/>
            </w:tcMar>
            <w:vAlign w:val="center"/>
          </w:tcPr>
          <w:p w14:paraId="18796DB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w:t>
            </w:r>
          </w:p>
        </w:tc>
        <w:tc>
          <w:tcPr>
            <w:tcW w:w="1562" w:type="dxa"/>
            <w:shd w:val="clear" w:color="auto" w:fill="auto"/>
            <w:tcMar>
              <w:top w:w="120" w:type="dxa"/>
              <w:left w:w="192" w:type="dxa"/>
              <w:bottom w:w="120" w:type="dxa"/>
              <w:right w:w="192" w:type="dxa"/>
            </w:tcMar>
            <w:vAlign w:val="center"/>
          </w:tcPr>
          <w:p w14:paraId="5A482E7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eastAsia"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技术知识</w:t>
            </w:r>
          </w:p>
        </w:tc>
        <w:tc>
          <w:tcPr>
            <w:tcW w:w="1665" w:type="dxa"/>
            <w:shd w:val="clear" w:color="auto" w:fill="auto"/>
            <w:tcMar>
              <w:top w:w="120" w:type="dxa"/>
              <w:left w:w="192" w:type="dxa"/>
              <w:bottom w:w="120" w:type="dxa"/>
              <w:right w:w="192" w:type="dxa"/>
            </w:tcMar>
            <w:vAlign w:val="center"/>
          </w:tcPr>
          <w:p w14:paraId="6C40440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《零信任安全接入平台运维手册》</w:t>
            </w:r>
          </w:p>
        </w:tc>
        <w:tc>
          <w:tcPr>
            <w:tcW w:w="2831" w:type="dxa"/>
            <w:shd w:val="clear" w:color="auto" w:fill="auto"/>
            <w:tcMar>
              <w:top w:w="120" w:type="dxa"/>
              <w:left w:w="192" w:type="dxa"/>
              <w:bottom w:w="120" w:type="dxa"/>
              <w:right w:w="192" w:type="dxa"/>
            </w:tcMar>
            <w:vAlign w:val="center"/>
          </w:tcPr>
          <w:p w14:paraId="58AAB84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包含客户端的部署与升级、日常登录认证问题排查、策略验证、与各业务系统的对接配置说明及应急处理流程。</w:t>
            </w:r>
          </w:p>
        </w:tc>
        <w:tc>
          <w:tcPr>
            <w:tcW w:w="908" w:type="dxa"/>
            <w:shd w:val="clear" w:color="auto" w:fill="auto"/>
            <w:tcMar>
              <w:top w:w="120" w:type="dxa"/>
              <w:left w:w="192" w:type="dxa"/>
              <w:bottom w:w="120" w:type="dxa"/>
              <w:right w:w="192" w:type="dxa"/>
            </w:tcMar>
            <w:vAlign w:val="center"/>
          </w:tcPr>
          <w:p w14:paraId="0407723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数智运营部、研究总院</w:t>
            </w:r>
          </w:p>
        </w:tc>
        <w:tc>
          <w:tcPr>
            <w:tcW w:w="1003" w:type="dxa"/>
            <w:shd w:val="clear" w:color="auto" w:fill="auto"/>
            <w:tcMar>
              <w:top w:w="120" w:type="dxa"/>
              <w:left w:w="192" w:type="dxa"/>
              <w:bottom w:w="120" w:type="dxa"/>
              <w:right w:w="0" w:type="dxa"/>
            </w:tcMar>
            <w:vAlign w:val="center"/>
          </w:tcPr>
          <w:p w14:paraId="4ADAD03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lang w:val="en-US"/>
              </w:rPr>
            </w:pPr>
            <w:r>
              <w:rPr>
                <w:rFonts w:hint="default" w:ascii="Segoe UI" w:hAnsi="Segoe UI" w:eastAsia="Segoe UI" w:cs="Segoe UI"/>
                <w:i w:val="0"/>
                <w:iCs w:val="0"/>
                <w:caps w:val="0"/>
                <w:snapToGrid w:val="0"/>
                <w:color w:val="000000"/>
                <w:spacing w:val="0"/>
                <w:kern w:val="0"/>
                <w:sz w:val="18"/>
                <w:szCs w:val="18"/>
                <w:lang w:val="en-US" w:eastAsia="zh-CN"/>
              </w:rPr>
              <w:t>2025年Q</w:t>
            </w:r>
            <w:r>
              <w:rPr>
                <w:rFonts w:hint="eastAsia" w:ascii="Segoe UI" w:hAnsi="Segoe UI" w:eastAsia="Segoe UI" w:cs="Segoe UI"/>
                <w:i w:val="0"/>
                <w:iCs w:val="0"/>
                <w:caps w:val="0"/>
                <w:snapToGrid w:val="0"/>
                <w:color w:val="000000"/>
                <w:spacing w:val="0"/>
                <w:kern w:val="0"/>
                <w:sz w:val="18"/>
                <w:szCs w:val="18"/>
                <w:lang w:val="en-US" w:eastAsia="zh-CN"/>
              </w:rPr>
              <w:t>2</w:t>
            </w:r>
          </w:p>
        </w:tc>
      </w:tr>
      <w:tr w14:paraId="34C9C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27" w:type="dxa"/>
            <w:shd w:val="clear" w:color="auto" w:fill="auto"/>
            <w:tcMar>
              <w:top w:w="120" w:type="dxa"/>
              <w:left w:w="0" w:type="dxa"/>
              <w:bottom w:w="120" w:type="dxa"/>
              <w:right w:w="192" w:type="dxa"/>
            </w:tcMar>
            <w:vAlign w:val="center"/>
          </w:tcPr>
          <w:p w14:paraId="5B0E01C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3</w:t>
            </w:r>
          </w:p>
        </w:tc>
        <w:tc>
          <w:tcPr>
            <w:tcW w:w="1562" w:type="dxa"/>
            <w:shd w:val="clear" w:color="auto" w:fill="auto"/>
            <w:tcMar>
              <w:top w:w="120" w:type="dxa"/>
              <w:left w:w="192" w:type="dxa"/>
              <w:bottom w:w="120" w:type="dxa"/>
              <w:right w:w="192" w:type="dxa"/>
            </w:tcMar>
            <w:vAlign w:val="center"/>
          </w:tcPr>
          <w:p w14:paraId="4488AAC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运维文档</w:t>
            </w:r>
          </w:p>
        </w:tc>
        <w:tc>
          <w:tcPr>
            <w:tcW w:w="1665" w:type="dxa"/>
            <w:shd w:val="clear" w:color="auto" w:fill="auto"/>
            <w:tcMar>
              <w:top w:w="120" w:type="dxa"/>
              <w:left w:w="192" w:type="dxa"/>
              <w:bottom w:w="120" w:type="dxa"/>
              <w:right w:w="192" w:type="dxa"/>
            </w:tcMar>
            <w:vAlign w:val="center"/>
          </w:tcPr>
          <w:p w14:paraId="51233DE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《数据库运维手册》</w:t>
            </w:r>
          </w:p>
        </w:tc>
        <w:tc>
          <w:tcPr>
            <w:tcW w:w="2831" w:type="dxa"/>
            <w:shd w:val="clear" w:color="auto" w:fill="auto"/>
            <w:tcMar>
              <w:top w:w="120" w:type="dxa"/>
              <w:left w:w="192" w:type="dxa"/>
              <w:bottom w:w="120" w:type="dxa"/>
              <w:right w:w="192" w:type="dxa"/>
            </w:tcMar>
            <w:vAlign w:val="center"/>
          </w:tcPr>
          <w:p w14:paraId="68AD051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涵盖主从架构、备份恢复、性能监控、故障处理、安全管理等全生命周期运维标准，</w:t>
            </w:r>
            <w:r>
              <w:rPr>
                <w:rFonts w:hint="eastAsia" w:ascii="Segoe UI" w:hAnsi="Segoe UI" w:eastAsia="Segoe UI" w:cs="Segoe UI"/>
                <w:i w:val="0"/>
                <w:iCs w:val="0"/>
                <w:caps w:val="0"/>
                <w:snapToGrid w:val="0"/>
                <w:color w:val="000000"/>
                <w:spacing w:val="0"/>
                <w:kern w:val="0"/>
                <w:sz w:val="18"/>
                <w:szCs w:val="18"/>
                <w:lang w:val="en-US" w:eastAsia="zh-CN"/>
              </w:rPr>
              <w:t>适用于MySQL</w:t>
            </w:r>
            <w:r>
              <w:rPr>
                <w:rFonts w:hint="default" w:ascii="Segoe UI" w:hAnsi="Segoe UI" w:eastAsia="Segoe UI" w:cs="Segoe UI"/>
                <w:i w:val="0"/>
                <w:iCs w:val="0"/>
                <w:caps w:val="0"/>
                <w:snapToGrid w:val="0"/>
                <w:color w:val="000000"/>
                <w:spacing w:val="0"/>
                <w:kern w:val="0"/>
                <w:sz w:val="18"/>
                <w:szCs w:val="18"/>
                <w:lang w:val="en-US" w:eastAsia="zh-CN"/>
              </w:rPr>
              <w:t>数据库</w:t>
            </w:r>
            <w:r>
              <w:rPr>
                <w:rStyle w:val="23"/>
                <w:rFonts w:ascii="Segoe UI" w:hAnsi="Segoe UI" w:eastAsia="Segoe UI" w:cs="Segoe UI"/>
                <w:b/>
                <w:bCs/>
                <w:i w:val="0"/>
                <w:iCs w:val="0"/>
                <w:caps w:val="0"/>
                <w:color w:val="0F1115"/>
                <w:spacing w:val="0"/>
                <w:sz w:val="18"/>
                <w:szCs w:val="18"/>
                <w:shd w:val="clear" w:color="auto" w:fill="FFFFFF"/>
              </w:rPr>
              <w:t>。</w:t>
            </w:r>
          </w:p>
        </w:tc>
        <w:tc>
          <w:tcPr>
            <w:tcW w:w="908" w:type="dxa"/>
            <w:shd w:val="clear" w:color="auto" w:fill="auto"/>
            <w:tcMar>
              <w:top w:w="120" w:type="dxa"/>
              <w:left w:w="192" w:type="dxa"/>
              <w:bottom w:w="120" w:type="dxa"/>
              <w:right w:w="192" w:type="dxa"/>
            </w:tcMar>
            <w:vAlign w:val="center"/>
          </w:tcPr>
          <w:p w14:paraId="6DDC714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数智运营部、研究总院</w:t>
            </w:r>
          </w:p>
        </w:tc>
        <w:tc>
          <w:tcPr>
            <w:tcW w:w="1003" w:type="dxa"/>
            <w:shd w:val="clear" w:color="auto" w:fill="auto"/>
            <w:tcMar>
              <w:top w:w="120" w:type="dxa"/>
              <w:left w:w="192" w:type="dxa"/>
              <w:bottom w:w="120" w:type="dxa"/>
              <w:right w:w="0" w:type="dxa"/>
            </w:tcMar>
            <w:vAlign w:val="center"/>
          </w:tcPr>
          <w:p w14:paraId="19AA148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2025年Q</w:t>
            </w:r>
            <w:r>
              <w:rPr>
                <w:rFonts w:hint="eastAsia" w:ascii="Segoe UI" w:hAnsi="Segoe UI" w:eastAsia="Segoe UI" w:cs="Segoe UI"/>
                <w:i w:val="0"/>
                <w:iCs w:val="0"/>
                <w:caps w:val="0"/>
                <w:snapToGrid w:val="0"/>
                <w:color w:val="000000"/>
                <w:spacing w:val="0"/>
                <w:kern w:val="0"/>
                <w:sz w:val="18"/>
                <w:szCs w:val="18"/>
                <w:lang w:val="en-US" w:eastAsia="zh-CN"/>
              </w:rPr>
              <w:t>3</w:t>
            </w:r>
          </w:p>
        </w:tc>
      </w:tr>
    </w:tbl>
    <w:p w14:paraId="2BB449F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p w14:paraId="25A63E7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5" w:name="_Toc27868"/>
      <w:r>
        <w:rPr>
          <w:rFonts w:hint="eastAsia"/>
          <w:lang w:val="en-US" w:eastAsia="zh-CN"/>
        </w:rPr>
        <w:t>研发团队构成</w:t>
      </w:r>
      <w:bookmarkEnd w:id="35"/>
    </w:p>
    <w:p w14:paraId="3C368FDD">
      <w:pPr>
        <w:pStyle w:val="29"/>
        <w:rPr>
          <w:rFonts w:hint="eastAsia"/>
          <w:lang w:val="en-US" w:eastAsia="zh-CN"/>
        </w:rPr>
      </w:pPr>
      <w:r>
        <w:rPr>
          <w:rFonts w:hint="eastAsia"/>
          <w:lang w:val="en-US" w:eastAsia="zh-CN"/>
        </w:rPr>
        <w:t>根据公司发展需要，运维工具研发团队人员配置信息如表2-6所示</w:t>
      </w:r>
    </w:p>
    <w:p w14:paraId="53E96379">
      <w:pPr>
        <w:pStyle w:val="29"/>
        <w:ind w:left="0" w:leftChars="0" w:right="0" w:rightChars="0" w:firstLine="0" w:firstLineChars="0"/>
        <w:jc w:val="center"/>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r>
        <w:rPr>
          <w:rFonts w:hint="eastAsia"/>
          <w:lang w:val="en-US" w:eastAsia="zh-CN"/>
        </w:rPr>
        <w:t xml:space="preserve"> 人员配置表</w:t>
      </w:r>
    </w:p>
    <w:tbl>
      <w:tblPr>
        <w:tblStyle w:val="20"/>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98"/>
        <w:gridCol w:w="1767"/>
        <w:gridCol w:w="4730"/>
      </w:tblGrid>
      <w:tr w14:paraId="69B38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998"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6104978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职位名称</w:t>
            </w:r>
          </w:p>
        </w:tc>
        <w:tc>
          <w:tcPr>
            <w:tcW w:w="176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5584D6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所属部门</w:t>
            </w:r>
          </w:p>
        </w:tc>
        <w:tc>
          <w:tcPr>
            <w:tcW w:w="4730"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4D302F4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职责描述</w:t>
            </w:r>
          </w:p>
        </w:tc>
      </w:tr>
      <w:tr w14:paraId="0C2C1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9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4B42DB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研究总院经理</w:t>
            </w:r>
          </w:p>
        </w:tc>
        <w:tc>
          <w:tcPr>
            <w:tcW w:w="176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F3B859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研究总院</w:t>
            </w:r>
          </w:p>
        </w:tc>
        <w:tc>
          <w:tcPr>
            <w:tcW w:w="473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4C1783A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项目总体规划与技术决策</w:t>
            </w:r>
          </w:p>
        </w:tc>
      </w:tr>
      <w:tr w14:paraId="13DB1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9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442B0A9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后端开发工程师</w:t>
            </w:r>
          </w:p>
        </w:tc>
        <w:tc>
          <w:tcPr>
            <w:tcW w:w="176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A8578B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研究总院</w:t>
            </w:r>
          </w:p>
        </w:tc>
        <w:tc>
          <w:tcPr>
            <w:tcW w:w="473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675C869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平台核心架构、API与数据分析模块开发</w:t>
            </w:r>
          </w:p>
        </w:tc>
      </w:tr>
      <w:tr w14:paraId="43F68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9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747ECF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前端开发工程师</w:t>
            </w:r>
          </w:p>
        </w:tc>
        <w:tc>
          <w:tcPr>
            <w:tcW w:w="176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B92127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研究总院</w:t>
            </w:r>
          </w:p>
        </w:tc>
        <w:tc>
          <w:tcPr>
            <w:tcW w:w="473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123F19E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管理界面、可视化报表前端开发</w:t>
            </w:r>
          </w:p>
        </w:tc>
      </w:tr>
      <w:tr w14:paraId="13026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9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194F56F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需求分析师</w:t>
            </w:r>
          </w:p>
        </w:tc>
        <w:tc>
          <w:tcPr>
            <w:tcW w:w="176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7E348A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研究总院</w:t>
            </w:r>
          </w:p>
        </w:tc>
        <w:tc>
          <w:tcPr>
            <w:tcW w:w="473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6338D40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收集分析业务需求，输出需求规格说明书</w:t>
            </w:r>
          </w:p>
        </w:tc>
      </w:tr>
      <w:tr w14:paraId="5CAD8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9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652DA14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运维项目经理</w:t>
            </w:r>
          </w:p>
        </w:tc>
        <w:tc>
          <w:tcPr>
            <w:tcW w:w="176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7D0027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数智运营部</w:t>
            </w:r>
          </w:p>
        </w:tc>
        <w:tc>
          <w:tcPr>
            <w:tcW w:w="473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2335E5D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协调业务资源，参与设计与测试</w:t>
            </w:r>
          </w:p>
        </w:tc>
      </w:tr>
      <w:tr w14:paraId="2F0F5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98"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3055B62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质量管理专员</w:t>
            </w:r>
          </w:p>
        </w:tc>
        <w:tc>
          <w:tcPr>
            <w:tcW w:w="176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0D2BAD4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质量管理部</w:t>
            </w:r>
          </w:p>
        </w:tc>
        <w:tc>
          <w:tcPr>
            <w:tcW w:w="4730"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41F254F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监督研发过程质量，参与功能验证</w:t>
            </w:r>
          </w:p>
        </w:tc>
      </w:tr>
    </w:tbl>
    <w:p w14:paraId="49EC1B3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6" w:name="_Toc20629"/>
      <w:r>
        <w:rPr>
          <w:rFonts w:hint="eastAsia"/>
          <w:lang w:val="en-US" w:eastAsia="zh-CN"/>
        </w:rPr>
        <w:t>新技术研发</w:t>
      </w:r>
      <w:bookmarkEnd w:id="36"/>
    </w:p>
    <w:p w14:paraId="78761CA1">
      <w:pPr>
        <w:pStyle w:val="29"/>
        <w:rPr>
          <w:rFonts w:hint="default"/>
          <w:lang w:val="en-US" w:eastAsia="zh-CN"/>
        </w:rPr>
      </w:pPr>
      <w:r>
        <w:rPr>
          <w:rFonts w:hint="eastAsia"/>
          <w:lang w:val="en-US" w:eastAsia="zh-CN"/>
        </w:rPr>
        <w:t>在</w:t>
      </w:r>
      <w:r>
        <w:rPr>
          <w:rFonts w:hint="default"/>
          <w:lang w:val="en-US" w:eastAsia="zh-CN"/>
        </w:rPr>
        <w:t>智能运维（AIOps）场景化应用探索</w:t>
      </w:r>
      <w:r>
        <w:rPr>
          <w:rFonts w:hint="eastAsia"/>
          <w:lang w:val="en-US" w:eastAsia="zh-CN"/>
        </w:rPr>
        <w:t>和</w:t>
      </w:r>
      <w:r>
        <w:rPr>
          <w:rFonts w:hint="default"/>
          <w:lang w:val="en-US" w:eastAsia="zh-CN"/>
        </w:rPr>
        <w:t>超自动化流程拓展</w:t>
      </w:r>
      <w:r>
        <w:rPr>
          <w:rFonts w:hint="eastAsia"/>
          <w:lang w:val="en-US" w:eastAsia="zh-CN"/>
        </w:rPr>
        <w:t>两个方向进行研究。实现</w:t>
      </w:r>
      <w:r>
        <w:rPr>
          <w:rFonts w:hint="default"/>
          <w:lang w:val="en-US" w:eastAsia="zh-CN"/>
        </w:rPr>
        <w:t>构建可复用的自动化组件库，降低新自动化场景的构建门槛与周期</w:t>
      </w:r>
    </w:p>
    <w:p w14:paraId="5952151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7" w:name="_Toc29355"/>
      <w:r>
        <w:rPr>
          <w:rFonts w:hint="eastAsia"/>
          <w:lang w:val="en-US" w:eastAsia="zh-CN"/>
        </w:rPr>
        <w:t>运维经费投入</w:t>
      </w:r>
      <w:bookmarkEnd w:id="37"/>
    </w:p>
    <w:p w14:paraId="233510B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r>
        <w:rPr>
          <w:rFonts w:hint="eastAsia"/>
          <w:lang w:val="en-US" w:eastAsia="zh-CN"/>
        </w:rPr>
        <w:t>研发经费投入计划表</w:t>
      </w:r>
    </w:p>
    <w:tbl>
      <w:tblPr>
        <w:tblStyle w:val="20"/>
        <w:tblW w:w="84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88"/>
        <w:gridCol w:w="2252"/>
        <w:gridCol w:w="3586"/>
        <w:gridCol w:w="1969"/>
      </w:tblGrid>
      <w:tr w14:paraId="6DDCD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688"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F84C57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编号</w:t>
            </w:r>
          </w:p>
        </w:tc>
        <w:tc>
          <w:tcPr>
            <w:tcW w:w="2252"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20A558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开支项目</w:t>
            </w:r>
          </w:p>
        </w:tc>
        <w:tc>
          <w:tcPr>
            <w:tcW w:w="3586"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2D7679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明细说明</w:t>
            </w:r>
          </w:p>
        </w:tc>
        <w:tc>
          <w:tcPr>
            <w:tcW w:w="1969"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2826C7D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金额（万元）</w:t>
            </w:r>
          </w:p>
        </w:tc>
      </w:tr>
      <w:tr w14:paraId="2CDF6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37CC0A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138176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人力资源成本</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CAC38B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研发团队年度薪酬、福利及奖金</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15B7905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60</w:t>
            </w:r>
          </w:p>
        </w:tc>
      </w:tr>
      <w:tr w14:paraId="3E0C2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A9BBB0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A1C62D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软件与云资源采购</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8260A3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云服务器、存储及专业工具许可</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195D3D7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12</w:t>
            </w:r>
          </w:p>
        </w:tc>
      </w:tr>
      <w:tr w14:paraId="2E65E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45E24C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0EE13C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外包与咨询费用</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C0DD15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特定模块开发、安全测试等</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26C82B1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4</w:t>
            </w:r>
          </w:p>
        </w:tc>
      </w:tr>
      <w:tr w14:paraId="443D4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F9AF0E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4</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A95DA2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培训与推广费用</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F719DD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内部技术培训、试点项目推广</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5EA2077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4</w:t>
            </w:r>
          </w:p>
        </w:tc>
      </w:tr>
      <w:tr w14:paraId="1EC44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9F01BB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B2F7FB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手册研发费用</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484E04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运维手册研发费用</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6622A7E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8</w:t>
            </w:r>
          </w:p>
        </w:tc>
      </w:tr>
      <w:tr w14:paraId="652B5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1051881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6</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744A48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新技术研发费用</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66160D2">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AIOps及超自动化方向预研、技术培训、PoC验证资源</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72A2B43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15</w:t>
            </w:r>
          </w:p>
        </w:tc>
      </w:tr>
      <w:tr w14:paraId="73805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12E246D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7</w:t>
            </w:r>
          </w:p>
        </w:tc>
        <w:tc>
          <w:tcPr>
            <w:tcW w:w="2252"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38FB098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总计</w:t>
            </w:r>
          </w:p>
        </w:tc>
        <w:tc>
          <w:tcPr>
            <w:tcW w:w="3586"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545099BF">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Segoe UI" w:hAnsi="Segoe UI" w:eastAsia="Segoe UI" w:cs="Segoe UI"/>
                <w:i w:val="0"/>
                <w:iCs w:val="0"/>
                <w:caps w:val="0"/>
                <w:color w:val="0F1115"/>
                <w:spacing w:val="0"/>
                <w:sz w:val="18"/>
                <w:szCs w:val="18"/>
              </w:rPr>
            </w:pPr>
          </w:p>
        </w:tc>
        <w:tc>
          <w:tcPr>
            <w:tcW w:w="1969"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401B750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103</w:t>
            </w:r>
          </w:p>
        </w:tc>
      </w:tr>
    </w:tbl>
    <w:p w14:paraId="0C0D0F5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8" w:name="_Toc25433"/>
      <w:r>
        <w:rPr>
          <w:rFonts w:hint="eastAsia"/>
          <w:lang w:val="en-US" w:eastAsia="zh-CN"/>
        </w:rPr>
        <w:t>过程管理计划</w:t>
      </w:r>
      <w:bookmarkEnd w:id="38"/>
    </w:p>
    <w:p w14:paraId="6E6687D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9" w:name="_Toc4207"/>
      <w:r>
        <w:rPr>
          <w:rFonts w:hint="eastAsia"/>
          <w:lang w:val="en-US" w:eastAsia="zh-CN"/>
        </w:rPr>
        <w:t>过程框架管理计划</w:t>
      </w:r>
      <w:bookmarkEnd w:id="39"/>
    </w:p>
    <w:p w14:paraId="2F84D6F6">
      <w:pPr>
        <w:pStyle w:val="29"/>
        <w:bidi w:val="0"/>
        <w:rPr>
          <w:rFonts w:hint="eastAsia"/>
          <w:lang w:val="en-US" w:eastAsia="zh-CN"/>
        </w:rPr>
      </w:pPr>
      <w:r>
        <w:t>为确保公司运维服务过程体系科学、规范且持续改进，依据运维服务能力管理指标体系相关要求，特制定过程框架管理计划。本计划聚焦于过程框架的系统化设计与定期评估，明确要求年度过程框架自评估执行次数不少于1次，由数智运营部负责牵头组织落实。通过持续开展过程成熟度评估与框架优化，推动服务管理流程与业务目标动态对齐，实现运维服务过程的标准化、可视化与闭环管理，为服务能力的体系化建设与可持续发展提供坚实的流程保障。</w:t>
      </w:r>
    </w:p>
    <w:p w14:paraId="0B3510D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0" w:name="_Toc16383"/>
      <w:r>
        <w:rPr>
          <w:rFonts w:hint="eastAsia"/>
          <w:lang w:val="en-US" w:eastAsia="zh-CN"/>
        </w:rPr>
        <w:t>服务级别管理计划</w:t>
      </w:r>
      <w:bookmarkEnd w:id="40"/>
    </w:p>
    <w:p w14:paraId="6F251DA0">
      <w:pPr>
        <w:pStyle w:val="29"/>
        <w:bidi w:val="0"/>
        <w:rPr>
          <w:rFonts w:hint="eastAsia"/>
          <w:lang w:val="en-US" w:eastAsia="zh-CN"/>
        </w:rPr>
      </w:pPr>
      <w:r>
        <w:t>为保障服务交付质量符合客户预期，公司建立了服务级别管理体系，以季度为周期对</w:t>
      </w:r>
      <w:r>
        <w:rPr>
          <w:rFonts w:hint="default"/>
        </w:rPr>
        <w:t>SLA达成率（目标值≥90%）进行考核。数智运营部负责服务级别协议的制定、监控与回顾，通过持续跟踪服务承诺的履行情况，驱动内部运营优化，确保服务交付始终满足或超越约定标准。</w:t>
      </w:r>
    </w:p>
    <w:p w14:paraId="15724F0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1" w:name="_Toc12360"/>
      <w:r>
        <w:rPr>
          <w:rFonts w:hint="eastAsia"/>
          <w:lang w:val="en-US" w:eastAsia="zh-CN"/>
        </w:rPr>
        <w:t>服务报告管理计划</w:t>
      </w:r>
      <w:bookmarkEnd w:id="41"/>
    </w:p>
    <w:p w14:paraId="73E93FAA">
      <w:pPr>
        <w:pStyle w:val="29"/>
        <w:bidi w:val="0"/>
        <w:rPr>
          <w:rFonts w:hint="eastAsia"/>
          <w:lang w:val="en-US" w:eastAsia="zh-CN"/>
        </w:rPr>
      </w:pPr>
      <w:r>
        <w:t>为建立透明、可追溯的服务沟通机制，公司实施服务报告管理制度，按季度对</w:t>
      </w:r>
      <w:r>
        <w:rPr>
          <w:rFonts w:hint="default"/>
        </w:rPr>
        <w:t>服务报告交付及时率（目标值≥90%）进行考核。数智运营部负责定期编制与提交各类服务报告，质量管理部监督其及时性与质量，确保管理层与客户能够准确、及时地掌握服务绩效与运营状态。</w:t>
      </w:r>
    </w:p>
    <w:p w14:paraId="194392C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2" w:name="_Toc14384"/>
      <w:r>
        <w:rPr>
          <w:rFonts w:hint="eastAsia"/>
          <w:lang w:val="en-US" w:eastAsia="zh-CN"/>
        </w:rPr>
        <w:t>事件管理计划</w:t>
      </w:r>
      <w:bookmarkEnd w:id="42"/>
    </w:p>
    <w:p w14:paraId="52DDB179">
      <w:pPr>
        <w:pStyle w:val="29"/>
        <w:bidi w:val="0"/>
        <w:rPr>
          <w:rFonts w:hint="eastAsia"/>
          <w:lang w:val="en-US" w:eastAsia="zh-CN"/>
        </w:rPr>
      </w:pPr>
      <w:r>
        <w:t>为确保服务中断得到快速恢复，公司建立了标准化事件管理流程。每月考核</w:t>
      </w:r>
      <w:r>
        <w:rPr>
          <w:rFonts w:hint="default"/>
        </w:rPr>
        <w:t>事件解决率（目标值≥90%），每季度考核事件解决用户满意度（目标值≥90%）。数智运营部负责事件的全程跟踪与闭环处理，通过优化响应与解决流程，致力于最小化事件对业务的影响，并持续提升客户体验。</w:t>
      </w:r>
    </w:p>
    <w:p w14:paraId="17C6002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3" w:name="_Toc1404"/>
      <w:bookmarkStart w:id="44" w:name="_Toc21791"/>
      <w:r>
        <w:rPr>
          <w:rFonts w:hint="eastAsia"/>
          <w:lang w:val="en-US" w:eastAsia="zh-CN"/>
        </w:rPr>
        <w:t>问题管理计划</w:t>
      </w:r>
      <w:bookmarkEnd w:id="43"/>
      <w:bookmarkEnd w:id="44"/>
    </w:p>
    <w:p w14:paraId="2BE3DEB5">
      <w:pPr>
        <w:pStyle w:val="29"/>
        <w:bidi w:val="0"/>
        <w:rPr>
          <w:rFonts w:hint="eastAsia"/>
          <w:lang w:val="en-US" w:eastAsia="zh-CN"/>
        </w:rPr>
      </w:pPr>
      <w:r>
        <w:t>为从根源上减少事件复发，公司推行系统性问题管理，每季度对</w:t>
      </w:r>
      <w:r>
        <w:rPr>
          <w:rFonts w:hint="default"/>
        </w:rPr>
        <w:t>问题解决率（目标值≥90%）与问题转知识的比率（目标值≥90%）进行考核。数智运营部负责主导问题根因分析及预防措施的制定与落实，强调将已验证的解决方案转化为知识资产，实现从被动应对到主动预防的转变。</w:t>
      </w:r>
    </w:p>
    <w:p w14:paraId="4FF52CD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5" w:name="_Toc25485"/>
      <w:r>
        <w:rPr>
          <w:rFonts w:hint="eastAsia"/>
          <w:lang w:val="en-US" w:eastAsia="zh-CN"/>
        </w:rPr>
        <w:t>变更管理计划</w:t>
      </w:r>
      <w:bookmarkEnd w:id="45"/>
    </w:p>
    <w:p w14:paraId="20646143">
      <w:pPr>
        <w:pStyle w:val="29"/>
        <w:bidi w:val="0"/>
        <w:rPr>
          <w:rFonts w:hint="eastAsia"/>
          <w:lang w:val="en-US" w:eastAsia="zh-CN"/>
        </w:rPr>
      </w:pPr>
      <w:r>
        <w:t>为保障服务变更的风险可控与顺利实施，公司实施严格的变更管理流程，每月对</w:t>
      </w:r>
      <w:r>
        <w:rPr>
          <w:rFonts w:hint="default"/>
        </w:rPr>
        <w:t>变更成功率（目标值≥98%）进行考核。数智运营部负责变更的评审、授权与协调，通过标准化流程与分级审批机制，确保所有变更均经过充分评估与测试，最大限度降低对生产环境稳定性的影响。</w:t>
      </w:r>
    </w:p>
    <w:p w14:paraId="3FEA036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6" w:name="_Toc16131"/>
      <w:r>
        <w:rPr>
          <w:rFonts w:hint="eastAsia"/>
          <w:lang w:val="en-US" w:eastAsia="zh-CN"/>
        </w:rPr>
        <w:t>发布管理计划</w:t>
      </w:r>
      <w:bookmarkEnd w:id="46"/>
    </w:p>
    <w:p w14:paraId="6F829BE8">
      <w:pPr>
        <w:pStyle w:val="29"/>
        <w:bidi w:val="0"/>
        <w:rPr>
          <w:rFonts w:hint="eastAsia"/>
          <w:lang w:val="en-US" w:eastAsia="zh-CN"/>
        </w:rPr>
      </w:pPr>
      <w:r>
        <w:t>为确保软硬件版本安全、一致地部署至生产环境，公司建立了发布管理制度，每月对</w:t>
      </w:r>
      <w:r>
        <w:rPr>
          <w:rFonts w:hint="default"/>
        </w:rPr>
        <w:t>发布成功率（目标值≥98%）进行考核。数智运营部与研究总院协同负责发布计划、测试与实施，通过严谨的发布窗口管理与回滚预案，保障每一次发布的可靠性与业务连续性。</w:t>
      </w:r>
    </w:p>
    <w:p w14:paraId="11A4753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7" w:name="_Toc13587"/>
      <w:r>
        <w:rPr>
          <w:rFonts w:hint="eastAsia"/>
          <w:lang w:val="en-US" w:eastAsia="zh-CN"/>
        </w:rPr>
        <w:t>配置管理计划</w:t>
      </w:r>
      <w:bookmarkEnd w:id="47"/>
    </w:p>
    <w:p w14:paraId="604E8CB6">
      <w:pPr>
        <w:pStyle w:val="29"/>
        <w:bidi w:val="0"/>
      </w:pPr>
      <w:r>
        <w:rPr>
          <w:rFonts w:hint="default"/>
        </w:rPr>
        <w:t>为确保IT基础设施与组件信息的准确性与一致性，公司实施配置管理，每半年对配置数据的准确率（目标值≥95%）进行考核。数智运营部负责维护配置管理数据库（CMDB），通过定期审计与验证，为事件、问题、变更等管理流程提供可靠的配置信息支撑。</w:t>
      </w:r>
    </w:p>
    <w:p w14:paraId="6725887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8" w:name="_Toc9083"/>
      <w:r>
        <w:rPr>
          <w:rFonts w:hint="eastAsia"/>
          <w:lang w:val="en-US" w:eastAsia="zh-CN"/>
        </w:rPr>
        <w:t>服务可用性和连续性管理计划</w:t>
      </w:r>
      <w:bookmarkEnd w:id="48"/>
    </w:p>
    <w:p w14:paraId="52DDF71B">
      <w:pPr>
        <w:pStyle w:val="29"/>
        <w:bidi w:val="0"/>
        <w:rPr>
          <w:rFonts w:hint="eastAsia"/>
          <w:lang w:val="en-US" w:eastAsia="zh-CN"/>
        </w:rPr>
      </w:pPr>
      <w:r>
        <w:t>为保障核心服务的高可用与业务连续性，公司建立了专项管理机制。每月考核</w:t>
      </w:r>
      <w:r>
        <w:rPr>
          <w:rFonts w:hint="default"/>
        </w:rPr>
        <w:t>服务可用率（目标值≥90%）并监控服务故障中断次数（约束值≤1次），每年至少组织一次应急演练。通过制定应急预案、实施冗余设计及定期演练，确保在计划内或意外中断时能快速恢复服务。</w:t>
      </w:r>
    </w:p>
    <w:p w14:paraId="61D2E7A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9" w:name="_Toc26787"/>
      <w:r>
        <w:rPr>
          <w:rFonts w:hint="eastAsia"/>
          <w:lang w:val="en-US" w:eastAsia="zh-CN"/>
        </w:rPr>
        <w:t>容量管理计划</w:t>
      </w:r>
      <w:bookmarkEnd w:id="49"/>
    </w:p>
    <w:p w14:paraId="7EC59691">
      <w:pPr>
        <w:pStyle w:val="29"/>
        <w:bidi w:val="0"/>
        <w:rPr>
          <w:rFonts w:hint="eastAsia"/>
          <w:lang w:val="en-US" w:eastAsia="zh-CN"/>
        </w:rPr>
      </w:pPr>
      <w:r>
        <w:t>为确保IT资源能够持续满足业务增长需求，公司推行容量管理，每年对</w:t>
      </w:r>
      <w:r>
        <w:rPr>
          <w:rFonts w:hint="default"/>
        </w:rPr>
        <w:t>容量事件数（约束值≤1次）进行考核。数智运营部负责监控资源使用趋势并进行容量规划，通过前瞻性的分析与扩容，预防因资源不足导致的性能下降或服务中断。</w:t>
      </w:r>
    </w:p>
    <w:p w14:paraId="3BDCB69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0" w:name="_Toc8573"/>
      <w:r>
        <w:rPr>
          <w:rFonts w:hint="eastAsia"/>
          <w:lang w:val="en-US" w:eastAsia="zh-CN"/>
        </w:rPr>
        <w:t>信息安全管理计划</w:t>
      </w:r>
      <w:bookmarkEnd w:id="50"/>
    </w:p>
    <w:p w14:paraId="3746B4B0">
      <w:pPr>
        <w:pStyle w:val="29"/>
        <w:bidi w:val="0"/>
        <w:rPr>
          <w:rFonts w:hint="default"/>
          <w:lang w:val="en-US" w:eastAsia="zh-CN"/>
        </w:rPr>
      </w:pPr>
      <w:r>
        <w:t>为保护客户与公司信息资产安全，公司实施信息安全管理体系，每年对</w:t>
      </w:r>
      <w:r>
        <w:rPr>
          <w:rFonts w:hint="default"/>
        </w:rPr>
        <w:t>信息安全事件数量（约束值≤1次）进行考核。通过制定安全策略、实施访问控制、开展安全培训与审计，持续构建主动防御能力，确保运维服务过程符合安全合规要求。</w:t>
      </w:r>
    </w:p>
    <w:p w14:paraId="101396D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1" w:name="_Toc29099"/>
      <w:r>
        <w:rPr>
          <w:rFonts w:hint="eastAsia"/>
          <w:lang w:val="en-US" w:eastAsia="zh-CN"/>
        </w:rPr>
        <w:t>交付管理计划</w:t>
      </w:r>
      <w:bookmarkEnd w:id="51"/>
    </w:p>
    <w:p w14:paraId="53831829">
      <w:pPr>
        <w:pStyle w:val="29"/>
        <w:bidi w:val="0"/>
        <w:rPr>
          <w:rFonts w:hint="default"/>
          <w:lang w:val="en-US" w:eastAsia="zh-CN"/>
        </w:rPr>
      </w:pPr>
      <w:r>
        <w:t>为保障运维项目按时、按质完成交付，公司建立了交付管理体系，以</w:t>
      </w:r>
      <w:r>
        <w:rPr>
          <w:rFonts w:hint="default"/>
        </w:rPr>
        <w:t> 项目及时交付率 为核心指标，目标值为100%，并按年度进行考核。数智运营部作为交付责任主体，负责项目全生命周期的计划、执行与监控，通过强化资源协调与进度管控，确保所有运维项目均能达成既定交付目标，实现客户承诺与服务价值。</w:t>
      </w:r>
    </w:p>
    <w:p w14:paraId="32A40EF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2" w:name="_Toc5596"/>
      <w:r>
        <w:rPr>
          <w:rFonts w:hint="eastAsia"/>
          <w:lang w:val="en-US" w:eastAsia="zh-CN"/>
        </w:rPr>
        <w:t>应急管理计划</w:t>
      </w:r>
      <w:bookmarkEnd w:id="52"/>
    </w:p>
    <w:p w14:paraId="574B100B">
      <w:pPr>
        <w:pStyle w:val="29"/>
        <w:bidi w:val="0"/>
        <w:rPr>
          <w:rFonts w:hint="eastAsia"/>
          <w:lang w:val="en-US" w:eastAsia="zh-CN"/>
        </w:rPr>
      </w:pPr>
      <w:r>
        <w:t>为有效应对重大服务中断等突发状况，保障业务连续性，公司制定了应急管理体系，以</w:t>
      </w:r>
      <w:r>
        <w:rPr>
          <w:rFonts w:hint="default"/>
        </w:rPr>
        <w:t> 项目应急演练次数 为核心过程指标，要求每年至少开展1次应急演练，并按年度进行考核。数智运营部协同应急管理部负责预案制定、演练组织与总结优化，通过常态化演练提升团队应急响应与协同处置能力，确保在真实事件发生时能够快速、有序恢复服务。</w:t>
      </w:r>
    </w:p>
    <w:p w14:paraId="69BEBAC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3" w:name="_Toc7242"/>
      <w:r>
        <w:rPr>
          <w:rFonts w:hint="eastAsia"/>
          <w:lang w:val="en-US" w:eastAsia="zh-CN"/>
        </w:rPr>
        <w:t>质量管理计划</w:t>
      </w:r>
      <w:bookmarkEnd w:id="53"/>
    </w:p>
    <w:p w14:paraId="1BE0B57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4" w:name="_Toc23662"/>
      <w:r>
        <w:rPr>
          <w:rFonts w:hint="eastAsia"/>
          <w:lang w:val="en-US" w:eastAsia="zh-CN"/>
        </w:rPr>
        <w:t>内审</w:t>
      </w:r>
      <w:bookmarkEnd w:id="54"/>
    </w:p>
    <w:p w14:paraId="618A87DD">
      <w:pPr>
        <w:pStyle w:val="29"/>
        <w:bidi w:val="0"/>
        <w:rPr>
          <w:rFonts w:hint="eastAsia"/>
          <w:lang w:val="en-US" w:eastAsia="zh-CN"/>
        </w:rPr>
      </w:pPr>
      <w:r>
        <w:t>为持续监督与改进公司运维服务管理体系的符合性与有效性，公司建立了内审管理制度，以</w:t>
      </w:r>
      <w:r>
        <w:rPr>
          <w:rFonts w:hint="default"/>
        </w:rPr>
        <w:t> 内审次数 为核心过程指标，目标值为每年不少于1次，并按年度进行考核。质量管理部作为内审组织与执行部门，负责制定审计计划、实施审计活动并输出审计报告，通过系统化的审核识别体系运行中的改进机会，推动管理体系持续完善。</w:t>
      </w:r>
    </w:p>
    <w:p w14:paraId="66EEEEB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5" w:name="_Toc23654"/>
      <w:r>
        <w:rPr>
          <w:rFonts w:hint="eastAsia"/>
          <w:lang w:val="en-US" w:eastAsia="zh-CN"/>
        </w:rPr>
        <w:t>管评</w:t>
      </w:r>
      <w:bookmarkEnd w:id="55"/>
    </w:p>
    <w:p w14:paraId="4DD7E521">
      <w:pPr>
        <w:pStyle w:val="29"/>
        <w:bidi w:val="0"/>
      </w:pPr>
      <w:r>
        <w:t>为确保公司运维服务管理体系的适宜性、充分性和有效性，并与战略方向保持一致，公司建立了管理评审机制，以</w:t>
      </w:r>
      <w:r>
        <w:rPr>
          <w:rFonts w:hint="default"/>
        </w:rPr>
        <w:t> 管理评审次数 为核心过程指标，目标值为每年不少于1次，并按年度进行考核。由数智运营部牵头组织，公司管理层及相关部门负责人参与，依据内外部审核结果、服务绩效数据及客户反馈等信息进行系统性评审，输出决策与改进计划，驱动管理体系与业务发展的战略协同。</w:t>
      </w:r>
    </w:p>
    <w:p w14:paraId="36C1B0F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6" w:name="_Toc11077"/>
      <w:r>
        <w:rPr>
          <w:rFonts w:hint="eastAsia"/>
          <w:lang w:val="en-US" w:eastAsia="zh-CN"/>
        </w:rPr>
        <w:t>客户满意度</w:t>
      </w:r>
      <w:bookmarkEnd w:id="56"/>
    </w:p>
    <w:p w14:paraId="64660F8D">
      <w:pPr>
        <w:pStyle w:val="29"/>
        <w:bidi w:val="0"/>
        <w:rPr>
          <w:rFonts w:hint="default"/>
          <w:lang w:val="en-US" w:eastAsia="zh-CN"/>
        </w:rPr>
      </w:pPr>
      <w:r>
        <w:t>为系统获取客户对服务质量的评价，识别改进机会并提升客户忠诚度，公司建立了客户满意度调查机制，以</w:t>
      </w:r>
      <w:r>
        <w:rPr>
          <w:rFonts w:hint="default"/>
        </w:rPr>
        <w:t> 客户满意度 为核心结果指标，目标值为不低于90%，并按半年度进行考核。质量管理部负责调查问卷的设计、发放、回收与数据分析，形成满意度调查报告。调查结果将作为服务改进、管理决策及绩效考核的重要输入，形成“评价-反馈-改进”的管理闭环</w:t>
      </w:r>
      <w:r>
        <w:rPr>
          <w:rFonts w:hint="default"/>
          <w:lang w:val="en-US" w:eastAsia="zh-CN"/>
        </w:rPr>
        <w:t>。</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6BA2F0">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B9AE4535"/>
    <w:multiLevelType w:val="multilevel"/>
    <w:tmpl w:val="B9AE4535"/>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EC7764DD"/>
    <w:multiLevelType w:val="singleLevel"/>
    <w:tmpl w:val="EC7764DD"/>
    <w:lvl w:ilvl="0" w:tentative="0">
      <w:start w:val="1"/>
      <w:numFmt w:val="decimal"/>
      <w:lvlText w:val="%1."/>
      <w:lvlJc w:val="left"/>
      <w:pPr>
        <w:ind w:left="425" w:hanging="425"/>
      </w:pPr>
      <w:rPr>
        <w:rFonts w:hint="default"/>
      </w:rPr>
    </w:lvl>
  </w:abstractNum>
  <w:abstractNum w:abstractNumId="3">
    <w:nsid w:val="0F92519D"/>
    <w:multiLevelType w:val="singleLevel"/>
    <w:tmpl w:val="0F92519D"/>
    <w:lvl w:ilvl="0" w:tentative="0">
      <w:start w:val="1"/>
      <w:numFmt w:val="decimal"/>
      <w:lvlText w:val="%1."/>
      <w:lvlJc w:val="left"/>
      <w:pPr>
        <w:ind w:left="425" w:hanging="425"/>
      </w:pPr>
      <w:rPr>
        <w:rFonts w:hint="default"/>
      </w:rPr>
    </w:lvl>
  </w:abstractNum>
  <w:abstractNum w:abstractNumId="4">
    <w:nsid w:val="52F5C425"/>
    <w:multiLevelType w:val="singleLevel"/>
    <w:tmpl w:val="52F5C425"/>
    <w:lvl w:ilvl="0" w:tentative="0">
      <w:start w:val="1"/>
      <w:numFmt w:val="decimal"/>
      <w:lvlText w:val="%1."/>
      <w:lvlJc w:val="left"/>
      <w:pPr>
        <w:ind w:left="425" w:hanging="425"/>
      </w:pPr>
      <w:rPr>
        <w:rFonts w:hint="default"/>
      </w:rPr>
    </w:lvl>
  </w:abstractNum>
  <w:abstractNum w:abstractNumId="5">
    <w:nsid w:val="547BE159"/>
    <w:multiLevelType w:val="singleLevel"/>
    <w:tmpl w:val="547BE159"/>
    <w:lvl w:ilvl="0" w:tentative="0">
      <w:start w:val="1"/>
      <w:numFmt w:val="decimal"/>
      <w:lvlText w:val="(%1)"/>
      <w:lvlJc w:val="left"/>
      <w:pPr>
        <w:tabs>
          <w:tab w:val="left" w:pos="420"/>
        </w:tabs>
        <w:ind w:left="845" w:hanging="425"/>
      </w:pPr>
      <w:rPr>
        <w:rFonts w:hint="default"/>
      </w:rPr>
    </w:lvl>
  </w:abstractNum>
  <w:abstractNum w:abstractNumId="6">
    <w:nsid w:val="60915A31"/>
    <w:multiLevelType w:val="singleLevel"/>
    <w:tmpl w:val="60915A31"/>
    <w:lvl w:ilvl="0" w:tentative="0">
      <w:start w:val="1"/>
      <w:numFmt w:val="decimal"/>
      <w:lvlText w:val="%1."/>
      <w:lvlJc w:val="left"/>
      <w:pPr>
        <w:ind w:left="425" w:hanging="425"/>
      </w:pPr>
      <w:rPr>
        <w:rFonts w:hint="default"/>
      </w:rPr>
    </w:lvl>
  </w:abstractNum>
  <w:abstractNum w:abstractNumId="7">
    <w:nsid w:val="67EC745F"/>
    <w:multiLevelType w:val="singleLevel"/>
    <w:tmpl w:val="67EC745F"/>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5"/>
  </w:num>
  <w:num w:numId="4">
    <w:abstractNumId w:val="7"/>
  </w:num>
  <w:num w:numId="5">
    <w:abstractNumId w:val="4"/>
  </w:num>
  <w:num w:numId="6">
    <w:abstractNumId w:val="3"/>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F05A65"/>
    <w:rsid w:val="03340902"/>
    <w:rsid w:val="04082AD7"/>
    <w:rsid w:val="09322AD0"/>
    <w:rsid w:val="0C8F3D96"/>
    <w:rsid w:val="0D6C2329"/>
    <w:rsid w:val="11335637"/>
    <w:rsid w:val="116E412F"/>
    <w:rsid w:val="133C40E3"/>
    <w:rsid w:val="15204125"/>
    <w:rsid w:val="15B1632A"/>
    <w:rsid w:val="1B1F52F4"/>
    <w:rsid w:val="1B55264E"/>
    <w:rsid w:val="1CE82CD5"/>
    <w:rsid w:val="1FAA740D"/>
    <w:rsid w:val="211F7986"/>
    <w:rsid w:val="24EF043B"/>
    <w:rsid w:val="27C15959"/>
    <w:rsid w:val="28033B5E"/>
    <w:rsid w:val="2D986AF6"/>
    <w:rsid w:val="36453593"/>
    <w:rsid w:val="38194CD8"/>
    <w:rsid w:val="38417D8A"/>
    <w:rsid w:val="3B135A0E"/>
    <w:rsid w:val="3B4F0A10"/>
    <w:rsid w:val="3B863A38"/>
    <w:rsid w:val="40330901"/>
    <w:rsid w:val="42FB5664"/>
    <w:rsid w:val="46470C62"/>
    <w:rsid w:val="47CC16FD"/>
    <w:rsid w:val="48C23D72"/>
    <w:rsid w:val="493A4AAE"/>
    <w:rsid w:val="4C6E3325"/>
    <w:rsid w:val="4C8A3367"/>
    <w:rsid w:val="526A3F14"/>
    <w:rsid w:val="52C378C2"/>
    <w:rsid w:val="53407165"/>
    <w:rsid w:val="541D74A6"/>
    <w:rsid w:val="5A8463C7"/>
    <w:rsid w:val="5AE138F1"/>
    <w:rsid w:val="5F4035DB"/>
    <w:rsid w:val="63B15315"/>
    <w:rsid w:val="6713648F"/>
    <w:rsid w:val="67555853"/>
    <w:rsid w:val="6B7D0AFE"/>
    <w:rsid w:val="6BDA62CE"/>
    <w:rsid w:val="6D6A5984"/>
    <w:rsid w:val="6DC9002B"/>
    <w:rsid w:val="729B60BC"/>
    <w:rsid w:val="72A23BFD"/>
    <w:rsid w:val="7406094A"/>
    <w:rsid w:val="75307CFF"/>
    <w:rsid w:val="7653295F"/>
    <w:rsid w:val="76DF266D"/>
    <w:rsid w:val="7C611D76"/>
    <w:rsid w:val="7FED19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8557</Words>
  <Characters>9110</Characters>
  <Lines>0</Lines>
  <Paragraphs>0</Paragraphs>
  <TotalTime>0</TotalTime>
  <ScaleCrop>false</ScaleCrop>
  <LinksUpToDate>false</LinksUpToDate>
  <CharactersWithSpaces>9507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2026-02-07T04:17:13Z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