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0A50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9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B81300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963"/>
      <w:r>
        <w:rPr>
          <w:rFonts w:hint="eastAsia"/>
          <w:lang w:val="en-US" w:eastAsia="zh-CN"/>
        </w:rPr>
        <w:t>运维服务能力管理报告</w:t>
      </w:r>
      <w:bookmarkEnd w:id="1"/>
    </w:p>
    <w:p w14:paraId="4EBFBA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BD01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555E4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BD568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524C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4C87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5DB25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5E950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7EC04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9EC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182AD7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FC9BB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EC82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2A35F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BEFA7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48517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DC041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137DC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1647A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F743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54ED0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1072A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73F3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FC74A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292AC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907CF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6768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6AC8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4B566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90331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8060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06D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23856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D5510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F30EF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8CDE4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74C7E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7705E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6C83D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DD4D2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2E33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E759F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2119E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021A7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2E194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50AC2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E92E4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D9F99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2FB6D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6983D6E">
          <w:pPr>
            <w:pStyle w:val="16"/>
            <w:tabs>
              <w:tab w:val="right" w:leader="dot" w:pos="8306"/>
            </w:tabs>
          </w:pPr>
          <w:bookmarkStart w:id="44" w:name="_GoBack"/>
          <w:bookmarkEnd w:id="4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_Toc2894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4EB7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_Toc14963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FCEF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_Toc29048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B8FD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_Toc3516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3B0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人员储备管理报告</w:t>
          </w:r>
          <w:r>
            <w:tab/>
          </w:r>
          <w:r>
            <w:fldChar w:fldCharType="begin"/>
          </w:r>
          <w:r>
            <w:instrText xml:space="preserve"> PAGEREF _Toc2276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D948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人员招聘管理报告</w:t>
          </w:r>
          <w:r>
            <w:tab/>
          </w:r>
          <w:r>
            <w:fldChar w:fldCharType="begin"/>
          </w:r>
          <w:r>
            <w:instrText xml:space="preserve"> PAGEREF _Toc11203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E76F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1.1.3. </w:t>
          </w:r>
          <w:r>
            <w:rPr>
              <w:rFonts w:hint="eastAsia"/>
              <w:lang w:val="en-US" w:eastAsia="zh-CN"/>
            </w:rPr>
            <w:t>人员备份管理报告</w:t>
          </w:r>
          <w:r>
            <w:tab/>
          </w:r>
          <w:r>
            <w:fldChar w:fldCharType="begin"/>
          </w:r>
          <w:r>
            <w:instrText xml:space="preserve"> PAGEREF _Toc14738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4F6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1.1.4. </w:t>
          </w:r>
          <w:r>
            <w:rPr>
              <w:rFonts w:hint="eastAsia"/>
              <w:lang w:val="en-US" w:eastAsia="zh-CN"/>
            </w:rPr>
            <w:t>人员培训管理报告</w:t>
          </w:r>
          <w:r>
            <w:tab/>
          </w:r>
          <w:r>
            <w:fldChar w:fldCharType="begin"/>
          </w:r>
          <w:r>
            <w:instrText xml:space="preserve"> PAGEREF _Toc21132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A190D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_Toc3930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8FBC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人员技能评定管理报告</w:t>
          </w:r>
          <w:r>
            <w:tab/>
          </w:r>
          <w:r>
            <w:fldChar w:fldCharType="begin"/>
          </w:r>
          <w:r>
            <w:instrText xml:space="preserve"> PAGEREF _Toc5359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CA76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155A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_Toc18142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665BB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_Toc4123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7425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_Toc30919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563C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_Toc15112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E3FD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_Toc25382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D1B3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_Toc13083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C915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服务知识管理模块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363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客户满意度调查模块</w:t>
          </w:r>
          <w:r>
            <w:tab/>
          </w:r>
          <w:r>
            <w:fldChar w:fldCharType="begin"/>
          </w:r>
          <w:r>
            <w:instrText xml:space="preserve"> PAGEREF _Toc1524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4138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_Toc30302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FFAB7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资金使用情况</w:t>
          </w:r>
          <w:r>
            <w:tab/>
          </w:r>
          <w:r>
            <w:fldChar w:fldCharType="begin"/>
          </w:r>
          <w:r>
            <w:instrText xml:space="preserve"> PAGEREF _Toc1467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462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_Toc5638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A42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_Toc18801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51873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_Toc25596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8EE2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服务报告管理报告</w:t>
          </w:r>
          <w:r>
            <w:tab/>
          </w:r>
          <w:r>
            <w:fldChar w:fldCharType="begin"/>
          </w:r>
          <w:r>
            <w:instrText xml:space="preserve"> PAGEREF _Toc4333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48CD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_Toc915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D8A9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_Toc12705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33E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_Toc32289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0964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_Toc6808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E63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_Toc28033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5FE08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_Toc12618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BA89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_Toc20499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5156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_Toc5694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4C1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_Toc31069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253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_Toc6033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F20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_Toc27885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AF0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_Toc2268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5892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_Toc7484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B339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1467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_Toc5781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F21E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0988F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EF857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9048"/>
      <w:r>
        <w:rPr>
          <w:rFonts w:hint="eastAsia"/>
          <w:lang w:val="en-US" w:eastAsia="zh-CN"/>
        </w:rPr>
        <w:t>运维服务能力管理报告</w:t>
      </w:r>
      <w:bookmarkEnd w:id="2"/>
    </w:p>
    <w:p w14:paraId="47196E1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516"/>
      <w:r>
        <w:rPr>
          <w:rFonts w:hint="eastAsia"/>
          <w:lang w:val="en-US" w:eastAsia="zh-CN"/>
        </w:rPr>
        <w:t>人员管理报告</w:t>
      </w:r>
      <w:bookmarkEnd w:id="3"/>
    </w:p>
    <w:p w14:paraId="24FDE82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276"/>
      <w:bookmarkStart w:id="5" w:name="_Toc25581"/>
      <w:r>
        <w:rPr>
          <w:rFonts w:hint="eastAsia"/>
          <w:lang w:val="en-US" w:eastAsia="zh-CN"/>
        </w:rPr>
        <w:t>人员储备管理报告</w:t>
      </w:r>
      <w:bookmarkEnd w:id="4"/>
    </w:p>
    <w:p w14:paraId="481E2ED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截止2025年11月，人员储备工作全部完成，储备完成情况如表所示，</w:t>
      </w:r>
    </w:p>
    <w:tbl>
      <w:tblPr>
        <w:tblStyle w:val="2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6FD6A8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3304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0C11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3FDE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0878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0EEA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5A9AB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663726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4A353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969B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6BEB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C561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B5DC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B280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7E79B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F1FB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F1EB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研究总院经理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C9E1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FAFF0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2505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8211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8EB90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6C3F1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53E1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95CC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4F99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02EA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8D87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0042C5D2">
      <w:pPr>
        <w:pStyle w:val="31"/>
        <w:bidi w:val="0"/>
        <w:rPr>
          <w:rFonts w:hint="default"/>
          <w:lang w:val="en-US" w:eastAsia="zh-CN"/>
        </w:rPr>
      </w:pPr>
      <w:bookmarkStart w:id="6" w:name="_Toc11203"/>
      <w:r>
        <w:rPr>
          <w:rFonts w:hint="eastAsia"/>
          <w:lang w:val="en-US" w:eastAsia="zh-CN"/>
        </w:rPr>
        <w:t>人员招聘管理报告</w:t>
      </w:r>
      <w:bookmarkEnd w:id="6"/>
    </w:p>
    <w:p w14:paraId="38B4570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截止2025年11月共完成5个岗位11人的招聘工作，具体招聘完成情况如表所示。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0F14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56A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792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E84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5A2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F29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34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D57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B3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20B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B51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74F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C73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FBA1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A8C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F5C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E26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D0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F41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4CC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2D2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EEB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9DF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3A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A84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E45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91E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49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929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690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FFE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0E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6F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9D4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0B7E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2DA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C4B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095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0E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3C9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2B9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E42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691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FA7A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52D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1C6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62C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81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BFA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8E8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B02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A3E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B5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FE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9B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67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9C9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056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A1D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09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1FB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D9D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E8C8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74A630BE">
      <w:pPr>
        <w:pStyle w:val="29"/>
        <w:rPr>
          <w:rFonts w:hint="default"/>
          <w:lang w:val="en-US" w:eastAsia="zh-CN"/>
        </w:rPr>
      </w:pPr>
    </w:p>
    <w:p w14:paraId="4E30C73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4738"/>
      <w:r>
        <w:rPr>
          <w:rFonts w:hint="eastAsia"/>
          <w:lang w:val="en-US" w:eastAsia="zh-CN"/>
        </w:rPr>
        <w:t>人员备份管理</w:t>
      </w:r>
      <w:bookmarkEnd w:id="5"/>
      <w:r>
        <w:rPr>
          <w:rFonts w:hint="eastAsia"/>
          <w:lang w:val="en-US" w:eastAsia="zh-CN"/>
        </w:rPr>
        <w:t>报告</w:t>
      </w:r>
      <w:bookmarkEnd w:id="7"/>
    </w:p>
    <w:p w14:paraId="4767A14E">
      <w:pPr>
        <w:pStyle w:val="29"/>
        <w:bidi w:val="0"/>
        <w:rPr>
          <w:rFonts w:hint="eastAsia"/>
          <w:lang w:val="en-US" w:eastAsia="zh-CN"/>
        </w:rPr>
      </w:pPr>
      <w:r>
        <w:t>公司通过科学识别关键岗位，建立“导师带教”与“项目实战”相结合的培养模式，强化内部人才的专业能力与管理素养，逐步构建结构清晰、能力匹配的内部人才梯队，为核心岗位提供即时的后备支持。</w:t>
      </w:r>
      <w:r>
        <w:rPr>
          <w:rFonts w:hint="eastAsia"/>
          <w:lang w:val="en-US" w:eastAsia="zh-CN"/>
        </w:rPr>
        <w:t>公司内部备份完成情况完成情况如表1-2所示</w:t>
      </w:r>
    </w:p>
    <w:p w14:paraId="344C8EF2">
      <w:pPr>
        <w:pStyle w:val="29"/>
        <w:bidi w:val="0"/>
        <w:rPr>
          <w:rFonts w:hint="default"/>
          <w:lang w:val="en-US" w:eastAsia="zh-CN"/>
        </w:rPr>
      </w:pPr>
    </w:p>
    <w:p w14:paraId="5988AF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人员备份完成情况</w:t>
      </w:r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297"/>
        <w:gridCol w:w="1113"/>
        <w:gridCol w:w="1290"/>
        <w:gridCol w:w="1212"/>
        <w:gridCol w:w="1282"/>
        <w:gridCol w:w="1720"/>
      </w:tblGrid>
      <w:tr w14:paraId="2C905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A808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B26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46E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2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F11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C1A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计划备份人数</w:t>
            </w:r>
          </w:p>
        </w:tc>
        <w:tc>
          <w:tcPr>
            <w:tcW w:w="12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718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计划到岗时间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E59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</w:t>
            </w:r>
          </w:p>
        </w:tc>
      </w:tr>
      <w:tr w14:paraId="5A3CD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59F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57F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03C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2D4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F8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2EE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1F7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已于2月完成授权并生效</w:t>
            </w:r>
          </w:p>
        </w:tc>
      </w:tr>
      <w:tr w14:paraId="57EF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0FC6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BFC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895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BC4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564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D67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83C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已于4月建立交叉备份机制</w:t>
            </w:r>
          </w:p>
        </w:tc>
      </w:tr>
      <w:tr w14:paraId="731FE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37AC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66A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414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173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083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A53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133B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已于5月完成授权并生效</w:t>
            </w:r>
          </w:p>
        </w:tc>
      </w:tr>
      <w:tr w14:paraId="4B037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86AF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7C8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50F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999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037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1B7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849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已于7月完成授权并生效</w:t>
            </w:r>
          </w:p>
        </w:tc>
      </w:tr>
    </w:tbl>
    <w:p w14:paraId="528994AE">
      <w:pPr>
        <w:pStyle w:val="29"/>
        <w:bidi w:val="0"/>
        <w:rPr>
          <w:rFonts w:hint="eastAsia"/>
          <w:lang w:val="en-US" w:eastAsia="zh-CN"/>
        </w:rPr>
      </w:pPr>
      <w:r>
        <w:t>在持续深化内部培养的基础上，公司同步开展前瞻性外部人才引进，有针对性地吸纳具备稀缺技能与创新视野的专业人才，为团队注入新生活力，弥补内部储备的结构性缺口，增强人才队伍的整体韧性与战略适应性。</w:t>
      </w:r>
      <w:r>
        <w:rPr>
          <w:rFonts w:hint="eastAsia"/>
          <w:lang w:val="en-US" w:eastAsia="zh-CN"/>
        </w:rPr>
        <w:t>人员招聘情况如表1-3所示</w:t>
      </w:r>
    </w:p>
    <w:p w14:paraId="76AA96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4BB5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297A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748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E94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536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199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796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769F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C09C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BEF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E54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1AD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E40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D4A7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80FB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D83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E76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0C0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BEA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B58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B0EE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2E6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2C02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4D4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9ED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065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E9E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DAE3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A4C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88DA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2129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097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4AB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7DE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AE70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A1B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3380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969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426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97D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F56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57B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DA2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6ED0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3BD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C62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A23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5AA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27CB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785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F88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4A7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2A2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8AB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C09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66C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2E2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0B7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F56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7CD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921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55D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0CF5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5A050529">
      <w:pPr>
        <w:pStyle w:val="29"/>
        <w:bidi w:val="0"/>
        <w:rPr>
          <w:rFonts w:hint="default"/>
          <w:lang w:val="en-US" w:eastAsia="zh-CN"/>
        </w:rPr>
      </w:pPr>
      <w:r>
        <w:t>通过内部培养与外部引进相结合的双轨储备机制，公司已逐步形成动态充足、结构合理、响应迅速的人才供给体系，为业务稳健发展与持续创新提供坚实、可持续的人才支撑。</w:t>
      </w:r>
    </w:p>
    <w:p w14:paraId="129084C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241"/>
      <w:bookmarkStart w:id="9" w:name="_Toc21132"/>
      <w:bookmarkStart w:id="10" w:name="_Toc10776"/>
      <w:r>
        <w:rPr>
          <w:rFonts w:hint="eastAsia"/>
          <w:lang w:val="en-US" w:eastAsia="zh-CN"/>
        </w:rPr>
        <w:t>人员培训管理</w:t>
      </w:r>
      <w:bookmarkEnd w:id="8"/>
      <w:r>
        <w:rPr>
          <w:rFonts w:hint="eastAsia"/>
          <w:lang w:val="en-US" w:eastAsia="zh-CN"/>
        </w:rPr>
        <w:t>报告</w:t>
      </w:r>
      <w:bookmarkEnd w:id="9"/>
    </w:p>
    <w:p w14:paraId="0CBD4D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支撑公司战略转型与业务升级，促进组织能力与业务发展同步演进，特制定系统性全员赋能计划。本计划旨在通过结构化的课程体系、实战化训练与跨部门协同机制，推动新老员工在服务理念、专业技能与协作方式上的深度融合，系统补齐能力短板、加速骨干梯队培养，最终打造一支兼具专业深度与协同广度的复合型团队，为公司的可持续发展提供坚实的人才保障与组织支撑。</w:t>
      </w:r>
    </w:p>
    <w:p w14:paraId="1A8237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培训计划，如表1-3所示</w:t>
      </w:r>
    </w:p>
    <w:p w14:paraId="5C53DD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52BC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F2B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C90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968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3A3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696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C5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3EB2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6F43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A07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3D6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553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8FD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55F3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A84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E09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9A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A77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DFC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51F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80B8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779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BD3C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F7D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BDD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49F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6C1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8AB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E0C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5BAF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990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C81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85A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289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165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17F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5341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401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1C9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2D4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6C1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CE46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278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C82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4E1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D5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2E3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D87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B91F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FC5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A99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67D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DEE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223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B84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337A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9AA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2AD9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E07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244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6C9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236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A5B1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BA7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263F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331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1E0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057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ACC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0A7A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3E3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3386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DD1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BBD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D3A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A25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93CB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8D7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7D0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A9F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C44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185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027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A958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13B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05C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F23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AB7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EC9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5D2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6D3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334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695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6C6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64D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3B3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7A6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A59E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7E781E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3BF9E0F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3930"/>
      <w:r>
        <w:rPr>
          <w:rFonts w:hint="eastAsia"/>
          <w:lang w:val="en-US" w:eastAsia="zh-CN"/>
        </w:rPr>
        <w:t>人员绩效考核管理</w:t>
      </w:r>
      <w:bookmarkEnd w:id="10"/>
      <w:r>
        <w:rPr>
          <w:rFonts w:hint="eastAsia"/>
          <w:lang w:val="en-US" w:eastAsia="zh-CN"/>
        </w:rPr>
        <w:t>报告</w:t>
      </w:r>
      <w:bookmarkEnd w:id="11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21D4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CF0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bookmarkStart w:id="12" w:name="_Toc5164"/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0E8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F64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D48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45494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9D0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(Q1-Q3)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ED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7F8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3F18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720C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7DBA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E10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BB4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242F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170C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DD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1C7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77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6469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2C5B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AE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4DB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AFA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41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0DEE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535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69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8A8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3F4D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6533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0ED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520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6AC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前三季度数据已就绪，年度能力行为评价方案已确定。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92EA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4226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F53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FC8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3C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643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532322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6300D5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截止2025年11月，每季度对运维人员进行考核，所有人考核成绩均合格，绩效考核合格率为100%。满足考核指标要求。</w:t>
      </w:r>
    </w:p>
    <w:p w14:paraId="6BF9F8C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5359"/>
      <w:r>
        <w:rPr>
          <w:rFonts w:hint="eastAsia"/>
          <w:lang w:val="en-US" w:eastAsia="zh-CN"/>
        </w:rPr>
        <w:t>人员技能评定管理</w:t>
      </w:r>
      <w:bookmarkEnd w:id="12"/>
      <w:r>
        <w:rPr>
          <w:rFonts w:hint="eastAsia"/>
          <w:lang w:val="en-US" w:eastAsia="zh-CN"/>
        </w:rPr>
        <w:t>报告</w:t>
      </w:r>
      <w:bookmarkEnd w:id="13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1AE6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59E6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763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83C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实际完成情况（截至11月30日）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CA1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8E7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956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BBB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C5A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89BE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11C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5D37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5DF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B69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AB36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561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87F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01F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CA2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EEDE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准备中</w:t>
            </w:r>
          </w:p>
        </w:tc>
      </w:tr>
      <w:tr w14:paraId="18AB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3A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87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212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C6F6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3E6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C19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ABC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EC9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6E3E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98F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F84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96A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FE8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77A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04C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9641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324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7CC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A082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4269AD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4543A3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计划于12月初进行人员技能技能评定，目前进展顺利。</w:t>
      </w:r>
    </w:p>
    <w:p w14:paraId="178281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5795"/>
      <w:r>
        <w:rPr>
          <w:rFonts w:hint="eastAsia"/>
          <w:lang w:val="en-US" w:eastAsia="zh-CN"/>
        </w:rPr>
        <w:t>资源管理报告</w:t>
      </w:r>
      <w:bookmarkEnd w:id="14"/>
    </w:p>
    <w:p w14:paraId="1C0F52B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8142"/>
      <w:r>
        <w:rPr>
          <w:rFonts w:hint="eastAsia"/>
          <w:lang w:val="en-US" w:eastAsia="zh-CN"/>
        </w:rPr>
        <w:t>运维工具管理报告</w:t>
      </w:r>
      <w:bookmarkEnd w:id="15"/>
    </w:p>
    <w:p w14:paraId="133667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于11月中旬分别对运维工具进行了一次自评估并生成自评估报告，达到每年至少进行一次自评估的要求。</w:t>
      </w:r>
    </w:p>
    <w:p w14:paraId="213B602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4123"/>
      <w:r>
        <w:rPr>
          <w:rFonts w:hint="eastAsia"/>
          <w:lang w:val="en-US" w:eastAsia="zh-CN"/>
        </w:rPr>
        <w:t>服务台管理报告</w:t>
      </w:r>
      <w:bookmarkEnd w:id="16"/>
    </w:p>
    <w:p w14:paraId="2A0B22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派单成功率季度考核值分别为90%、92%和95%，均达成并超越了≥90%的目标要求，表明工单分类与分派流程准确有效。一线问题解决率维持在较高水平，支撑了整体服务效率。知识管理成效显著，各季度新增知识条目分别为15条、12条和18条，远超每季度≥10条的目标，为服务团队提供了充分的知识储备。</w:t>
      </w:r>
    </w:p>
    <w:p w14:paraId="612B55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上述数据表明，服务台已建立规范化的运营机制，在工单处理、知识积累和服务协同等方面形成了良性循环，为运维服务的高效交付提供了有力支撑。</w:t>
      </w:r>
    </w:p>
    <w:p w14:paraId="11E94A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0919"/>
      <w:r>
        <w:rPr>
          <w:rFonts w:hint="eastAsia"/>
          <w:lang w:val="en-US" w:eastAsia="zh-CN"/>
        </w:rPr>
        <w:t>服务知识管理报告</w:t>
      </w:r>
      <w:bookmarkEnd w:id="17"/>
    </w:p>
    <w:p w14:paraId="08070E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根据运维服务能力管理指标完成情况数据，公司在报告期内服务知识管理体系运行良好，知识积累与应用成效显著。</w:t>
      </w:r>
    </w:p>
    <w:p w14:paraId="05ECC8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核心知识产出指标新增知识条目在各季度均超额完成目标，分别达到15条、12条和18条，持续超过每季度≥10条的最低要求，表明服务知识得到了持续、系统的沉淀与丰富。</w:t>
      </w:r>
    </w:p>
    <w:p w14:paraId="63AFB1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在知识转化与应用方面，问题转知识的比率各季度分别达到90%、92%和100%，均达成并超越≥90%的目标值，显示出服务团队有效将问题解决经验转化为可复用的知识资产。</w:t>
      </w:r>
    </w:p>
    <w:p w14:paraId="1439AF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知识库使用率保持在良好水平，支撑了一线服务效率。各项数据表明，公司已建立起活跃的知识生产与转化机制，服务知识管理体系在知识沉淀、转化和应用环节均形成了良性循环，为运维服务的标准化、高效化提供了有力的知识支撑。</w:t>
      </w:r>
    </w:p>
    <w:p w14:paraId="290067F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5112"/>
      <w:r>
        <w:rPr>
          <w:rFonts w:hint="eastAsia"/>
          <w:lang w:val="en-US" w:eastAsia="zh-CN"/>
        </w:rPr>
        <w:t>最终软件库管理报告</w:t>
      </w:r>
      <w:bookmarkEnd w:id="18"/>
    </w:p>
    <w:p w14:paraId="379E8C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根据运维服务能力管理指标完成情况，公司在报告期内最终软件库管理体系运行规范，核心管控目标有效达成。</w:t>
      </w:r>
    </w:p>
    <w:p w14:paraId="60D6C1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在合规性管理方面，软件合规性审计次数在报告期</w:t>
      </w:r>
      <w:r>
        <w:rPr>
          <w:rFonts w:hint="eastAsia"/>
          <w:lang w:val="en-US" w:eastAsia="zh-CN"/>
        </w:rPr>
        <w:t>上</w:t>
      </w:r>
      <w:r>
        <w:rPr>
          <w:rFonts w:hint="default"/>
        </w:rPr>
        <w:t>半年已完成1次，符合每半年不少于1次的目标要求，表明公司建立了定期的软件合规性审查机制。</w:t>
      </w:r>
    </w:p>
    <w:p w14:paraId="49B6FC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在软件质量管控方面，相关运维流程数据显示软件版本管理规范，软件部署与发布流程的标准化程度持续提升。通过与发布管理、配置管理等流程的协同，最终软件库为系统稳定性与安全性提供了基础保障。</w:t>
      </w:r>
    </w:p>
    <w:p w14:paraId="18568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综合来看，最终软件库管理通过定期审计与流程控制，确保了软件资产的合规性与一致性，为运维服务的可靠交付构建了坚实的软件治理基础。</w:t>
      </w:r>
    </w:p>
    <w:p w14:paraId="72EA88A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5382"/>
      <w:r>
        <w:rPr>
          <w:rFonts w:hint="eastAsia"/>
          <w:lang w:val="en-US" w:eastAsia="zh-CN"/>
        </w:rPr>
        <w:t>服务数据管理报告</w:t>
      </w:r>
      <w:bookmarkEnd w:id="19"/>
    </w:p>
    <w:p w14:paraId="15FE32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根据运维服务能力管理指标完成情况，公司在报告期内服务数据管理体系运行有效，数据治理与应用水平稳步提升。</w:t>
      </w:r>
    </w:p>
    <w:p w14:paraId="020CA1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在数据应用效能方面，服务数据分析利用次数各季度分别达到3次、3次和4次，均超过每季度不少于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次的目标要求，表明服务数据已从基础采集向深度分析与业务支撑阶段系统推进。</w:t>
      </w:r>
    </w:p>
    <w:p w14:paraId="61486B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在数据质量保障方面，通过定期审计与流程管控，服务数据的完整性、准确性与及时性得到有效维护，为事件管理、问题分析、服务报告等关键流程提供了可靠的数据基础。</w:t>
      </w:r>
    </w:p>
    <w:p w14:paraId="268496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数据应用成果已逐步融入运营决策、服务优化及绩效考核等多个环节，推动了数据驱动管理的良性循环。当前服务数据管理体系已形成从采集、治理到分析应用的全流程闭环，为运维服务的精细化运营与持续改进提供了坚实的数据支撑。</w:t>
      </w:r>
    </w:p>
    <w:p w14:paraId="4D91F78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3083"/>
      <w:r>
        <w:rPr>
          <w:rFonts w:hint="eastAsia"/>
          <w:lang w:val="en-US" w:eastAsia="zh-CN"/>
        </w:rPr>
        <w:t>技术管理报告</w:t>
      </w:r>
      <w:bookmarkEnd w:id="20"/>
    </w:p>
    <w:p w14:paraId="008B30C9">
      <w:pPr>
        <w:pStyle w:val="31"/>
        <w:bidi w:val="0"/>
        <w:rPr>
          <w:rFonts w:hint="eastAsia"/>
          <w:lang w:val="en-US" w:eastAsia="zh-CN"/>
        </w:rPr>
      </w:pPr>
      <w:bookmarkStart w:id="21" w:name="_Toc27520"/>
      <w:r>
        <w:rPr>
          <w:rFonts w:hint="eastAsia"/>
          <w:lang w:val="en-US" w:eastAsia="zh-CN"/>
        </w:rPr>
        <w:t>服务知识管理模块</w:t>
      </w:r>
      <w:bookmarkEnd w:id="21"/>
    </w:p>
    <w:p w14:paraId="6C936D4E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</w:t>
      </w:r>
    </w:p>
    <w:p w14:paraId="76F407B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支持服务知识新增、编辑、导出、搜索和列表查看等功能</w:t>
      </w:r>
    </w:p>
    <w:p w14:paraId="1ECF3128">
      <w:pPr>
        <w:pStyle w:val="29"/>
      </w:pPr>
      <w:r>
        <w:drawing>
          <wp:inline distT="0" distB="0" distL="114300" distR="114300">
            <wp:extent cx="5271135" cy="20567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C210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服务知识类别</w:t>
      </w:r>
    </w:p>
    <w:p w14:paraId="52356D1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支持对服务知识进行分类，默认为技术知识、运维文档、流程规范、培训资料。同时可对分类进行新增、编辑、删除等。</w:t>
      </w:r>
      <w:r>
        <w:drawing>
          <wp:inline distT="0" distB="0" distL="114300" distR="114300">
            <wp:extent cx="5269865" cy="1560195"/>
            <wp:effectExtent l="0" t="0" r="317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7823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服务知识导入</w:t>
      </w:r>
    </w:p>
    <w:p w14:paraId="1F7FE70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支持xlsx和xls格式的导入。</w:t>
      </w:r>
      <w:r>
        <w:drawing>
          <wp:inline distT="0" distB="0" distL="114300" distR="114300">
            <wp:extent cx="5262880" cy="1844040"/>
            <wp:effectExtent l="0" t="0" r="1016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3D57">
      <w:pPr>
        <w:pStyle w:val="31"/>
        <w:bidi w:val="0"/>
        <w:rPr>
          <w:rFonts w:hint="default"/>
          <w:lang w:val="en-US" w:eastAsia="zh-CN"/>
        </w:rPr>
      </w:pPr>
      <w:bookmarkStart w:id="22" w:name="_Toc1524"/>
      <w:r>
        <w:rPr>
          <w:rFonts w:hint="eastAsia"/>
          <w:lang w:val="en-US" w:eastAsia="zh-CN"/>
        </w:rPr>
        <w:t>客户满意度调查模块</w:t>
      </w:r>
      <w:bookmarkEnd w:id="22"/>
    </w:p>
    <w:p w14:paraId="64605ACB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满意度调查项配置</w:t>
      </w:r>
    </w:p>
    <w:p w14:paraId="5C4D480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对满意度调查项进行自主配置，实现按需调查目的</w:t>
      </w:r>
    </w:p>
    <w:p w14:paraId="33EAEB51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875280"/>
            <wp:effectExtent l="0" t="0" r="10160" b="50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A2B4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满意度问卷导入</w:t>
      </w:r>
    </w:p>
    <w:p w14:paraId="3F619096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50695"/>
            <wp:effectExtent l="0" t="0" r="3175" b="19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C72F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调查问卷发放</w:t>
      </w:r>
    </w:p>
    <w:p w14:paraId="035B14F8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61795"/>
            <wp:effectExtent l="0" t="0" r="4445" b="146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8685">
      <w:pPr>
        <w:pStyle w:val="31"/>
        <w:bidi w:val="0"/>
        <w:rPr>
          <w:rFonts w:hint="default"/>
          <w:lang w:val="en-US" w:eastAsia="zh-CN"/>
        </w:rPr>
      </w:pPr>
      <w:bookmarkStart w:id="23" w:name="_Toc30302"/>
      <w:r>
        <w:rPr>
          <w:rFonts w:hint="eastAsia"/>
          <w:lang w:val="en-US" w:eastAsia="zh-CN"/>
        </w:rPr>
        <w:t>新技术研发</w:t>
      </w:r>
      <w:bookmarkEnd w:id="23"/>
    </w:p>
    <w:p w14:paraId="5B4F2E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完成状态：预研与评估阶段顺利完成，已进入原型验证阶段。</w:t>
      </w:r>
    </w:p>
    <w:p w14:paraId="2D3898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核心进展：</w:t>
      </w:r>
    </w:p>
    <w:p w14:paraId="7B249B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Ops场景探索：Q2-Q3期间，技术虚拟小组完成了对开源框架的技术评估。Q4起，已选取“Nginx访问日志错误模式自动识别”作为首个PoC场景，目前原型系统正在测试环境中运行，初步验证了通过简单规则引擎实现异常模式过滤的可行性。</w:t>
      </w:r>
    </w:p>
    <w:p w14:paraId="634886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超自动化流程拓展：基于现有RPA经验，对低代码工作流平台进行了选型研究。已完成“月度运维报告数据自动采集与生成”流程的设计，计划于12月进行自动化流程部署测试。</w:t>
      </w:r>
    </w:p>
    <w:p w14:paraId="5266B0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融合探索：已初步规划了智能告警事件与知识库解决方案、自动化流程的联动接口方案，为2026年深度集成打下基础。</w:t>
      </w:r>
    </w:p>
    <w:p w14:paraId="4F8AF7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阶段结论：本年度新技术研发工作实现了从0到1的突破，明确了技术路线，积累了初步实践经验，达到了“能力建设和方向验证”的预期目标。</w:t>
      </w:r>
    </w:p>
    <w:p w14:paraId="50446B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467"/>
      <w:r>
        <w:rPr>
          <w:rFonts w:hint="eastAsia"/>
          <w:lang w:val="en-US" w:eastAsia="zh-CN"/>
        </w:rPr>
        <w:t>资金使用情况</w:t>
      </w:r>
      <w:bookmarkEnd w:id="24"/>
    </w:p>
    <w:p w14:paraId="552E37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2025年度，研发规划预算总额为103万元。截至2025年11月20日，实际支出共计96.8万元，资金使用健康、合理</w:t>
      </w:r>
      <w:r>
        <w:rPr>
          <w:rFonts w:hint="eastAsia"/>
          <w:lang w:val="en-US" w:eastAsia="zh-CN"/>
        </w:rPr>
        <w:t>。</w:t>
      </w:r>
    </w:p>
    <w:p w14:paraId="6F458FC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5638"/>
      <w:r>
        <w:rPr>
          <w:rFonts w:hint="eastAsia"/>
          <w:lang w:val="en-US" w:eastAsia="zh-CN"/>
        </w:rPr>
        <w:t>过程管理报告</w:t>
      </w:r>
      <w:bookmarkEnd w:id="25"/>
    </w:p>
    <w:p w14:paraId="3F7677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8801"/>
      <w:r>
        <w:rPr>
          <w:rFonts w:hint="eastAsia"/>
          <w:lang w:val="en-US" w:eastAsia="zh-CN"/>
        </w:rPr>
        <w:t>过程框架管理报告</w:t>
      </w:r>
      <w:bookmarkEnd w:id="26"/>
    </w:p>
    <w:p w14:paraId="36CBC4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根据运维服务能力管理指标完成情况，公司在报告期内过程框架管理体系运行规范，年度评估机制有效落实。</w:t>
      </w:r>
    </w:p>
    <w:p w14:paraId="158634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在过程体系建设方面，过程框架自评估次数已完成1次，达成年度不少于1次的目标要求，表明公司已建立规范化的过程成熟度定期评估机制。</w:t>
      </w:r>
    </w:p>
    <w:p w14:paraId="5440B9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自评估，公司系统梳理了各服务管理过程的实施现状、关键绩效表现与改进机会，为服务管理体系的持续优化提供了明确方向。评估结果已作为管理评审的重要输入，驱动过程框架与业务目标、客户需求的动态对齐。</w:t>
      </w:r>
    </w:p>
    <w:p w14:paraId="667DD1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综合来看，过程框架管理通过年度自评估机制，实现了对运维服务管理体系的结构化审视与闭环改进，为服务能力的系统化建设与可持续发展提供了坚实的流程保障。</w:t>
      </w:r>
    </w:p>
    <w:p w14:paraId="3089399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5596"/>
      <w:r>
        <w:rPr>
          <w:rFonts w:hint="eastAsia"/>
          <w:lang w:val="en-US" w:eastAsia="zh-CN"/>
        </w:rPr>
        <w:t>服务级别管理报告</w:t>
      </w:r>
      <w:bookmarkEnd w:id="27"/>
    </w:p>
    <w:p w14:paraId="102DCB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根据运维服务能力管理指标完成情况，公司在报告期内服务级别管理体系运行良好，服务承诺得到有效履行。核心考核指标</w:t>
      </w:r>
      <w:r>
        <w:rPr>
          <w:rFonts w:hint="default"/>
        </w:rPr>
        <w:t>SLA达成率在各季度均达到100%，持续超越≥90%的目标值，表明公司服务交付能力稳定，能够始终满足或超越与客户约定的服务级别要求。</w:t>
      </w:r>
    </w:p>
    <w:p w14:paraId="5534604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4333"/>
      <w:r>
        <w:rPr>
          <w:rFonts w:hint="eastAsia"/>
          <w:lang w:val="en-US" w:eastAsia="zh-CN"/>
        </w:rPr>
        <w:t>服务报告管理报告</w:t>
      </w:r>
      <w:bookmarkEnd w:id="28"/>
    </w:p>
    <w:p w14:paraId="47A9BB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根据运维服务能力管理指标完成情况，公司在报告期内服务报告管理体系运行规范、交付及时。核心指标</w:t>
      </w:r>
      <w:r>
        <w:rPr>
          <w:rFonts w:hint="default"/>
        </w:rPr>
        <w:t>服务报告交付及时率各季度均实现100%，显著高于≥90%的目标，体现了公司在服务信息沟通方面的专业性与可靠性，为管理层决策和客户关系维护提供了稳定支持。</w:t>
      </w:r>
    </w:p>
    <w:p w14:paraId="7C9A60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915"/>
      <w:r>
        <w:rPr>
          <w:rFonts w:hint="eastAsia"/>
          <w:lang w:val="en-US" w:eastAsia="zh-CN"/>
        </w:rPr>
        <w:t>事件管理报告</w:t>
      </w:r>
      <w:bookmarkEnd w:id="29"/>
    </w:p>
    <w:p w14:paraId="3A904F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根据运维服务能力管理指标完成情况，公司在报告期内事件管理效果显著，响应与解决能力持续达标。月度</w:t>
      </w:r>
      <w:r>
        <w:rPr>
          <w:rFonts w:hint="default"/>
        </w:rPr>
        <w:t>事件解决率稳定保持100%，季度事件解决用户满意度亦均为100%，双双超越≥90%的目标，反映出事件流程运转高效，客户在事件处理过程中的体验良好。</w:t>
      </w:r>
    </w:p>
    <w:p w14:paraId="4A53FA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2705"/>
      <w:r>
        <w:rPr>
          <w:rFonts w:hint="eastAsia"/>
          <w:lang w:val="en-US" w:eastAsia="zh-CN"/>
        </w:rPr>
        <w:t>问题管理报告</w:t>
      </w:r>
      <w:bookmarkEnd w:id="30"/>
    </w:p>
    <w:p w14:paraId="19A15C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根据运维服务能力管理指标完成情况，公司在报告期内问题管理成效突出，根本解决与知识转化能力增强。季度</w:t>
      </w:r>
      <w:r>
        <w:rPr>
          <w:rFonts w:hint="default"/>
        </w:rPr>
        <w:t>问题解决率分别为92%、100%和98%，问题转知识的比率分别为90%、92%和100%，均达成≥90%的目标，表明公司不仅有效解决问题，更注重将经验沉淀为可复用的组织知识资产。</w:t>
      </w:r>
    </w:p>
    <w:p w14:paraId="2D32AB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32289"/>
      <w:r>
        <w:rPr>
          <w:rFonts w:hint="eastAsia"/>
          <w:lang w:val="en-US" w:eastAsia="zh-CN"/>
        </w:rPr>
        <w:t>变更管理报告</w:t>
      </w:r>
      <w:bookmarkEnd w:id="31"/>
    </w:p>
    <w:p w14:paraId="321CD5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根据运维服务能力管理指标完成情况，公司在报告期内变更管理实施稳健，风险控制有效。</w:t>
      </w:r>
      <w:r>
        <w:rPr>
          <w:rFonts w:hint="eastAsia"/>
          <w:lang w:val="en-US" w:eastAsia="zh-CN"/>
        </w:rPr>
        <w:t>但是10月份的变更成功率不足月度考核指标要求的98%，经过追溯发现是10月份变更频繁，并且部分运维工程师对变更管理制度理解不到位导致，下一步数智运营部应加强培训。避免此现象发生。</w:t>
      </w:r>
    </w:p>
    <w:p w14:paraId="737898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6808"/>
      <w:r>
        <w:rPr>
          <w:rFonts w:hint="eastAsia"/>
          <w:lang w:val="en-US" w:eastAsia="zh-CN"/>
        </w:rPr>
        <w:t>发布管理报告</w:t>
      </w:r>
      <w:bookmarkEnd w:id="32"/>
    </w:p>
    <w:p w14:paraId="46E081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根据运维服务能力管理指标完成情况，公司在报告期内发布管理流程高度可靠。月度</w:t>
      </w:r>
      <w:r>
        <w:rPr>
          <w:rFonts w:hint="default"/>
        </w:rPr>
        <w:t>发布成功率持续保持100%，完全满足≥98%的目标要求，证明公司在软件版本规划、测试、部署与回滚控制等方面具备成熟的能力，确保了发布过程的安全与平滑。</w:t>
      </w:r>
    </w:p>
    <w:p w14:paraId="2BD720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3" w:name="_Toc28033"/>
      <w:r>
        <w:rPr>
          <w:rFonts w:hint="eastAsia"/>
          <w:lang w:val="en-US" w:eastAsia="zh-CN"/>
        </w:rPr>
        <w:t>配置管理报告</w:t>
      </w:r>
      <w:bookmarkEnd w:id="33"/>
    </w:p>
    <w:p w14:paraId="3F9CFC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根据运维服务能力管理指标完成情况，公司在报告期内配置数据管理准确可靠。半年度</w:t>
      </w:r>
      <w:r>
        <w:rPr>
          <w:rFonts w:hint="default"/>
        </w:rPr>
        <w:t>配置数据的准确率达到100%，超越≥95%的目标值，表明配置管理数据库（CMDB）维护良好，为事件、问题、变更等管理流程提供了真实、一致的数据基础。</w:t>
      </w:r>
    </w:p>
    <w:p w14:paraId="3C17C24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bookmarkStart w:id="34" w:name="_Toc12618"/>
      <w:r>
        <w:rPr>
          <w:rFonts w:hint="eastAsia"/>
          <w:lang w:val="en-US" w:eastAsia="zh-CN"/>
        </w:rPr>
        <w:t>服务可用性和连续性管理报告</w:t>
      </w:r>
      <w:bookmarkEnd w:id="34"/>
    </w:p>
    <w:p w14:paraId="453EB8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根据运维服务能力管理指标完成情况，公司在报告期内服务可用性与连续性保持优异水平。月度</w:t>
      </w:r>
      <w:r>
        <w:rPr>
          <w:rFonts w:hint="default"/>
        </w:rPr>
        <w:t>服务可用率持续为100%，远超≥90%的目标；同时，服务故障中断次数每月均为0次，优于≤1次的约束要求，证明基础设施稳定，应急预案有效，业务连续性得到有力保障。</w:t>
      </w:r>
    </w:p>
    <w:p w14:paraId="1165415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20499"/>
      <w:r>
        <w:rPr>
          <w:rFonts w:hint="eastAsia"/>
          <w:lang w:val="en-US" w:eastAsia="zh-CN"/>
        </w:rPr>
        <w:t>容量管理报告</w:t>
      </w:r>
      <w:bookmarkEnd w:id="35"/>
    </w:p>
    <w:p w14:paraId="1F623B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根据运维服务能力管理指标完成情况，公司在报告期内容量管理预防措施得当。全年未发生因容量不足导致的事件，</w:t>
      </w:r>
      <w:r>
        <w:rPr>
          <w:rFonts w:hint="default"/>
        </w:rPr>
        <w:t>容量事件数为0次，优于≤1次的年度控制目标，表明容量规划与监控机制有效，资源供给能够前瞻性地匹配业务增长需求。</w:t>
      </w:r>
    </w:p>
    <w:p w14:paraId="08E4C4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5694"/>
      <w:r>
        <w:rPr>
          <w:rFonts w:hint="eastAsia"/>
          <w:lang w:val="en-US" w:eastAsia="zh-CN"/>
        </w:rPr>
        <w:t>信息安全管理报告</w:t>
      </w:r>
      <w:bookmarkEnd w:id="36"/>
    </w:p>
    <w:p w14:paraId="38CF75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根据运维服务能力管理指标完成情况，公司在报告期内信息安全管理体系运行有效，安全态势平稳。全年由我方责任导致的</w:t>
      </w:r>
      <w:r>
        <w:rPr>
          <w:rFonts w:hint="default"/>
        </w:rPr>
        <w:t>信息安全事件数量为0次，达到≤1次的年度控制目标，反映出安全策略、管控措施与员工意识培训到位，有效守护了客户与公司的信息资产安全。</w:t>
      </w:r>
    </w:p>
    <w:p w14:paraId="269C83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31069"/>
      <w:r>
        <w:rPr>
          <w:rFonts w:hint="eastAsia"/>
          <w:lang w:val="en-US" w:eastAsia="zh-CN"/>
        </w:rPr>
        <w:t>交付管理报告</w:t>
      </w:r>
      <w:bookmarkEnd w:id="37"/>
    </w:p>
    <w:p w14:paraId="7307F2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根据运维服务能力管理指标完成情况，公司在报告期内项目交付管理体系运行良好，成果达成稳健。年度核心考核指标</w:t>
      </w:r>
      <w:r>
        <w:rPr>
          <w:rFonts w:hint="default"/>
        </w:rPr>
        <w:t>项目及时交付率实现100%，完全满足目标值要求。该结果表明，公司在项目全生命周期管理，包括计划制定、资源协调、进度监控与风险应对等方面具备成熟且高效的执行能力，确保了所有运维项目均能按时、按质完成交付，有效履行了对客户的承诺。</w:t>
      </w:r>
    </w:p>
    <w:p w14:paraId="1F7A811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8" w:name="_Toc6033"/>
      <w:r>
        <w:rPr>
          <w:rFonts w:hint="eastAsia"/>
          <w:lang w:val="en-US" w:eastAsia="zh-CN"/>
        </w:rPr>
        <w:t>应急管理报告</w:t>
      </w:r>
      <w:bookmarkEnd w:id="38"/>
    </w:p>
    <w:p w14:paraId="675F2133">
      <w:pPr>
        <w:pStyle w:val="29"/>
        <w:bidi w:val="0"/>
        <w:rPr>
          <w:rFonts w:hint="eastAsia"/>
          <w:lang w:val="en-US" w:eastAsia="zh-CN"/>
        </w:rPr>
      </w:pPr>
      <w:r>
        <w:t>根据运维服务能力管理指标完成情况，公司在报告期内应急管理体系有效运转，准备与响应能力持续强化。年度过程指标</w:t>
      </w:r>
      <w:r>
        <w:rPr>
          <w:rFonts w:hint="default"/>
        </w:rPr>
        <w:t>项目应急演练次数已完成1次，符合“每年不少于1次”的目标要求。通过组织常态化、场景化的应急演练，公司系统性地检验了预案可行性，提升了团队在模拟突发事件中的快速响应、指挥协调与恢复处置能力，为保障实际业务连续性奠定了坚实的基础。</w:t>
      </w:r>
    </w:p>
    <w:p w14:paraId="713256E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7885"/>
      <w:r>
        <w:rPr>
          <w:rFonts w:hint="eastAsia"/>
          <w:lang w:val="en-US" w:eastAsia="zh-CN"/>
        </w:rPr>
        <w:t>质量管理报告</w:t>
      </w:r>
      <w:bookmarkEnd w:id="39"/>
    </w:p>
    <w:p w14:paraId="0284D99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0" w:name="_Toc2268"/>
      <w:r>
        <w:rPr>
          <w:rFonts w:hint="eastAsia"/>
          <w:lang w:val="en-US" w:eastAsia="zh-CN"/>
        </w:rPr>
        <w:t>内审</w:t>
      </w:r>
      <w:bookmarkEnd w:id="40"/>
    </w:p>
    <w:p w14:paraId="5AE61721">
      <w:pPr>
        <w:pStyle w:val="29"/>
        <w:bidi w:val="0"/>
        <w:rPr>
          <w:rFonts w:hint="eastAsia"/>
          <w:lang w:val="en-US" w:eastAsia="zh-CN"/>
        </w:rPr>
      </w:pPr>
      <w:r>
        <w:t>质量管理部于2025年11月10日完成内审计划的制定与内审检查表的编制工作，并于11月15日至16日按计划组织并实施了年度内部审核。审核过程中发现一般不符合项1项。针对该不符合项，已由责任部门制定并落实整改措施，同步组织开展针对性培训。质量管理部将持续跟踪验证整改效果，确保问题闭环，推动管理体系持续改进。</w:t>
      </w:r>
    </w:p>
    <w:p w14:paraId="6C2643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1" w:name="_Toc7484"/>
      <w:r>
        <w:rPr>
          <w:rFonts w:hint="eastAsia"/>
          <w:lang w:val="en-US" w:eastAsia="zh-CN"/>
        </w:rPr>
        <w:t>管评</w:t>
      </w:r>
      <w:bookmarkEnd w:id="41"/>
    </w:p>
    <w:p w14:paraId="1343444D">
      <w:pPr>
        <w:pStyle w:val="29"/>
        <w:bidi w:val="0"/>
        <w:rPr>
          <w:rFonts w:hint="eastAsia"/>
          <w:lang w:val="en-US" w:eastAsia="zh-CN"/>
        </w:rPr>
      </w:pPr>
      <w:r>
        <w:t>质量管理部于2025年11月13日制定了年度管理评审计划，并已于</w:t>
      </w:r>
      <w:r>
        <w:rPr>
          <w:rFonts w:hint="eastAsia"/>
          <w:lang w:val="en-US" w:eastAsia="zh-CN"/>
        </w:rPr>
        <w:t>11</w:t>
      </w:r>
      <w:r>
        <w:t>月20日组织各运维相关部门召开管理评审会议。会议筹备周密，各部门参会人员准备充分，围绕公司运维管理目标达成情况、体系运行效能等议题进行了系统审议与深入评议。会议全面总结了2025年度运维服务能力体系的运行状况，客观评估了各项管理过程的绩效表现，并对年度运维服务工作成果给予了充分肯定，为后续战略部署与持续改进提供了重要依据。</w:t>
      </w:r>
    </w:p>
    <w:p w14:paraId="7B4B4FB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13062"/>
      <w:r>
        <w:rPr>
          <w:rFonts w:hint="eastAsia"/>
          <w:lang w:val="en-US" w:eastAsia="zh-CN"/>
        </w:rPr>
        <w:t>客户满意度</w:t>
      </w:r>
      <w:bookmarkEnd w:id="42"/>
    </w:p>
    <w:p w14:paraId="239B0F9B">
      <w:pPr>
        <w:pStyle w:val="29"/>
        <w:bidi w:val="0"/>
      </w:pPr>
      <w:r>
        <w:t>根据2025年1-11月客户满意度调查结果，公司年度运维服务整体表现获得客户高度认可。半年度调查的客户满意度为97%，持续超越≥90%的目标值。各服务维度中，服务响应、专业技术、服务态度及文档质量等方面均获评满分，显示出公司在核心服务能力上的稳定交付。通过系统化的满意度监测与分析机制，公司不仅有效识别并响应客户需求，也为服务持续优化与客户关系深化提供了可靠依据，进一步巩固了以客户为中心的服务文化。</w:t>
      </w:r>
    </w:p>
    <w:p w14:paraId="5CE51532">
      <w:pPr>
        <w:pStyle w:val="31"/>
        <w:bidi w:val="0"/>
        <w:rPr>
          <w:rFonts w:hint="eastAsia"/>
          <w:lang w:val="en-US" w:eastAsia="zh-CN"/>
        </w:rPr>
      </w:pPr>
      <w:bookmarkStart w:id="43" w:name="_Toc5781"/>
      <w:r>
        <w:rPr>
          <w:rFonts w:hint="eastAsia"/>
          <w:lang w:val="en-US" w:eastAsia="zh-CN"/>
        </w:rPr>
        <w:t>客户投诉</w:t>
      </w:r>
      <w:bookmarkEnd w:id="43"/>
    </w:p>
    <w:p w14:paraId="3412496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截止目前没有发生客户投诉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674D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F2A0C"/>
    <w:rsid w:val="011E0236"/>
    <w:rsid w:val="05557F9E"/>
    <w:rsid w:val="087F780C"/>
    <w:rsid w:val="0DF26CD2"/>
    <w:rsid w:val="0E7528BD"/>
    <w:rsid w:val="110D104A"/>
    <w:rsid w:val="12024210"/>
    <w:rsid w:val="148F527B"/>
    <w:rsid w:val="152A0A3B"/>
    <w:rsid w:val="15671D54"/>
    <w:rsid w:val="15E72E94"/>
    <w:rsid w:val="16096967"/>
    <w:rsid w:val="1853036D"/>
    <w:rsid w:val="186D39BB"/>
    <w:rsid w:val="1A4C1518"/>
    <w:rsid w:val="1B8D3B96"/>
    <w:rsid w:val="1D7538AC"/>
    <w:rsid w:val="1F0A2BB6"/>
    <w:rsid w:val="2472601F"/>
    <w:rsid w:val="26F9481B"/>
    <w:rsid w:val="2730541C"/>
    <w:rsid w:val="28885E11"/>
    <w:rsid w:val="31B84496"/>
    <w:rsid w:val="329B4965"/>
    <w:rsid w:val="3A8618C8"/>
    <w:rsid w:val="3B8A18BC"/>
    <w:rsid w:val="4AE02891"/>
    <w:rsid w:val="4C3205F3"/>
    <w:rsid w:val="4D5A1FE9"/>
    <w:rsid w:val="50D852D8"/>
    <w:rsid w:val="53481F1D"/>
    <w:rsid w:val="54AD4386"/>
    <w:rsid w:val="5BED59B0"/>
    <w:rsid w:val="5F924FB2"/>
    <w:rsid w:val="64F460BE"/>
    <w:rsid w:val="66976C44"/>
    <w:rsid w:val="68152516"/>
    <w:rsid w:val="6EFF5CCE"/>
    <w:rsid w:val="6F267EF1"/>
    <w:rsid w:val="704E0CBB"/>
    <w:rsid w:val="706C7393"/>
    <w:rsid w:val="71923F18"/>
    <w:rsid w:val="71D7083C"/>
    <w:rsid w:val="725974A3"/>
    <w:rsid w:val="752C0E9F"/>
    <w:rsid w:val="755A1EB0"/>
    <w:rsid w:val="791B54B2"/>
    <w:rsid w:val="7B706339"/>
    <w:rsid w:val="7E99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7210</Words>
  <Characters>7895</Characters>
  <Lines>0</Lines>
  <Paragraphs>0</Paragraphs>
  <TotalTime>0</TotalTime>
  <ScaleCrop>false</ScaleCrop>
  <LinksUpToDate>false</LinksUpToDate>
  <CharactersWithSpaces>8042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2026-02-07T04:16:34Z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