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EE85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022"/>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252154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661"/>
      <w:r>
        <w:rPr>
          <w:rFonts w:hint="eastAsia"/>
          <w:lang w:val="en-US" w:eastAsia="zh-CN"/>
        </w:rPr>
        <w:t>运维服务沟通管理制度</w:t>
      </w:r>
      <w:bookmarkEnd w:id="1"/>
    </w:p>
    <w:p w14:paraId="0CABB69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EC91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2EA61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7D31F2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0985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DB3EF4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AF52F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3D4C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44A9D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507A9C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DF76C1F">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8CB204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8443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F41BF98">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7B9F4A0">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8AE39F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6B3300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F293B9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D4B50E1">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CF847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0F316E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38C2218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314458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2275DD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5D7FB55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75E2E15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162CD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4D2C95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48A70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036424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22528C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A493F7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BF9A0E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72924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98E74B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13363C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4B41D3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4B4A1F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CDFA9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FED75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7291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0CC9CB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99BC95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4C3239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C8E9BC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F52E9F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FA5596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E9A10C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737897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0A8A4A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_Toc20022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_Toc20022 \h </w:instrText>
          </w:r>
          <w:r>
            <w:fldChar w:fldCharType="separate"/>
          </w:r>
          <w:r>
            <w:t>1</w:t>
          </w:r>
          <w:r>
            <w:fldChar w:fldCharType="end"/>
          </w:r>
          <w:r>
            <w:rPr>
              <w:rFonts w:hint="eastAsia" w:ascii="宋体" w:hAnsi="宋体" w:eastAsia="宋体" w:cs="宋体"/>
              <w:szCs w:val="24"/>
            </w:rPr>
            <w:fldChar w:fldCharType="end"/>
          </w:r>
        </w:p>
        <w:p w14:paraId="4E0B527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_Toc16661 </w:instrText>
          </w:r>
          <w:r>
            <w:rPr>
              <w:rFonts w:hint="eastAsia" w:ascii="宋体" w:hAnsi="宋体" w:eastAsia="宋体" w:cs="宋体"/>
              <w:szCs w:val="24"/>
            </w:rPr>
            <w:fldChar w:fldCharType="separate"/>
          </w:r>
          <w:r>
            <w:rPr>
              <w:rFonts w:hint="eastAsia"/>
              <w:lang w:val="en-US" w:eastAsia="zh-CN"/>
            </w:rPr>
            <w:t>运维服务沟通管理制度</w:t>
          </w:r>
          <w:r>
            <w:tab/>
          </w:r>
          <w:r>
            <w:fldChar w:fldCharType="begin"/>
          </w:r>
          <w:r>
            <w:instrText xml:space="preserve"> PAGEREF _Toc16661 \h </w:instrText>
          </w:r>
          <w:r>
            <w:fldChar w:fldCharType="separate"/>
          </w:r>
          <w:r>
            <w:t>1</w:t>
          </w:r>
          <w:r>
            <w:fldChar w:fldCharType="end"/>
          </w:r>
          <w:r>
            <w:rPr>
              <w:rFonts w:hint="eastAsia" w:ascii="宋体" w:hAnsi="宋体" w:eastAsia="宋体" w:cs="宋体"/>
              <w:szCs w:val="24"/>
            </w:rPr>
            <w:fldChar w:fldCharType="end"/>
          </w:r>
        </w:p>
        <w:p w14:paraId="68629E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_Toc22405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_Toc22405 \h </w:instrText>
          </w:r>
          <w:r>
            <w:fldChar w:fldCharType="separate"/>
          </w:r>
          <w:r>
            <w:t>4</w:t>
          </w:r>
          <w:r>
            <w:fldChar w:fldCharType="end"/>
          </w:r>
          <w:r>
            <w:rPr>
              <w:rFonts w:hint="eastAsia" w:ascii="宋体" w:hAnsi="宋体" w:eastAsia="宋体" w:cs="宋体"/>
              <w:szCs w:val="24"/>
            </w:rPr>
            <w:fldChar w:fldCharType="end"/>
          </w:r>
        </w:p>
        <w:p w14:paraId="089654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_Toc13761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适用范围</w:t>
          </w:r>
          <w:r>
            <w:tab/>
          </w:r>
          <w:r>
            <w:fldChar w:fldCharType="begin"/>
          </w:r>
          <w:r>
            <w:instrText xml:space="preserve"> PAGEREF _Toc13761 \h </w:instrText>
          </w:r>
          <w:r>
            <w:fldChar w:fldCharType="separate"/>
          </w:r>
          <w:r>
            <w:t>4</w:t>
          </w:r>
          <w:r>
            <w:fldChar w:fldCharType="end"/>
          </w:r>
          <w:r>
            <w:rPr>
              <w:rFonts w:hint="eastAsia" w:ascii="宋体" w:hAnsi="宋体" w:eastAsia="宋体" w:cs="宋体"/>
              <w:szCs w:val="24"/>
            </w:rPr>
            <w:fldChar w:fldCharType="end"/>
          </w:r>
        </w:p>
        <w:p w14:paraId="678FFB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_Toc10840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职责</w:t>
          </w:r>
          <w:r>
            <w:tab/>
          </w:r>
          <w:r>
            <w:fldChar w:fldCharType="begin"/>
          </w:r>
          <w:r>
            <w:instrText xml:space="preserve"> PAGEREF _Toc10840 \h </w:instrText>
          </w:r>
          <w:r>
            <w:fldChar w:fldCharType="separate"/>
          </w:r>
          <w:r>
            <w:t>4</w:t>
          </w:r>
          <w:r>
            <w:fldChar w:fldCharType="end"/>
          </w:r>
          <w:r>
            <w:rPr>
              <w:rFonts w:hint="eastAsia" w:ascii="宋体" w:hAnsi="宋体" w:eastAsia="宋体" w:cs="宋体"/>
              <w:szCs w:val="24"/>
            </w:rPr>
            <w:fldChar w:fldCharType="end"/>
          </w:r>
        </w:p>
        <w:p w14:paraId="590198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_Toc735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公司管理层</w:t>
          </w:r>
          <w:r>
            <w:tab/>
          </w:r>
          <w:r>
            <w:fldChar w:fldCharType="begin"/>
          </w:r>
          <w:r>
            <w:instrText xml:space="preserve"> PAGEREF _Toc735 \h </w:instrText>
          </w:r>
          <w:r>
            <w:fldChar w:fldCharType="separate"/>
          </w:r>
          <w:r>
            <w:t>4</w:t>
          </w:r>
          <w:r>
            <w:fldChar w:fldCharType="end"/>
          </w:r>
          <w:r>
            <w:rPr>
              <w:rFonts w:hint="eastAsia" w:ascii="宋体" w:hAnsi="宋体" w:eastAsia="宋体" w:cs="宋体"/>
              <w:szCs w:val="24"/>
            </w:rPr>
            <w:fldChar w:fldCharType="end"/>
          </w:r>
        </w:p>
        <w:p w14:paraId="578B7C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_Toc27088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质量管理部</w:t>
          </w:r>
          <w:r>
            <w:tab/>
          </w:r>
          <w:r>
            <w:fldChar w:fldCharType="begin"/>
          </w:r>
          <w:r>
            <w:instrText xml:space="preserve"> PAGEREF _Toc27088 \h </w:instrText>
          </w:r>
          <w:r>
            <w:fldChar w:fldCharType="separate"/>
          </w:r>
          <w:r>
            <w:t>4</w:t>
          </w:r>
          <w:r>
            <w:fldChar w:fldCharType="end"/>
          </w:r>
          <w:r>
            <w:rPr>
              <w:rFonts w:hint="eastAsia" w:ascii="宋体" w:hAnsi="宋体" w:eastAsia="宋体" w:cs="宋体"/>
              <w:szCs w:val="24"/>
            </w:rPr>
            <w:fldChar w:fldCharType="end"/>
          </w:r>
        </w:p>
        <w:p w14:paraId="5C059EB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_Toc26910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数智运营部</w:t>
          </w:r>
          <w:r>
            <w:tab/>
          </w:r>
          <w:r>
            <w:fldChar w:fldCharType="begin"/>
          </w:r>
          <w:r>
            <w:instrText xml:space="preserve"> PAGEREF _Toc26910 \h </w:instrText>
          </w:r>
          <w:r>
            <w:fldChar w:fldCharType="separate"/>
          </w:r>
          <w:r>
            <w:t>4</w:t>
          </w:r>
          <w:r>
            <w:fldChar w:fldCharType="end"/>
          </w:r>
          <w:r>
            <w:rPr>
              <w:rFonts w:hint="eastAsia" w:ascii="宋体" w:hAnsi="宋体" w:eastAsia="宋体" w:cs="宋体"/>
              <w:szCs w:val="24"/>
            </w:rPr>
            <w:fldChar w:fldCharType="end"/>
          </w:r>
        </w:p>
        <w:p w14:paraId="6C53C0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_Toc32198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_Toc32198 \h </w:instrText>
          </w:r>
          <w:r>
            <w:fldChar w:fldCharType="separate"/>
          </w:r>
          <w:r>
            <w:t>4</w:t>
          </w:r>
          <w:r>
            <w:fldChar w:fldCharType="end"/>
          </w:r>
          <w:r>
            <w:rPr>
              <w:rFonts w:hint="eastAsia" w:ascii="宋体" w:hAnsi="宋体" w:eastAsia="宋体" w:cs="宋体"/>
              <w:szCs w:val="24"/>
            </w:rPr>
            <w:fldChar w:fldCharType="end"/>
          </w:r>
        </w:p>
        <w:p w14:paraId="537754D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_Toc15174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工作程序</w:t>
          </w:r>
          <w:r>
            <w:tab/>
          </w:r>
          <w:r>
            <w:fldChar w:fldCharType="begin"/>
          </w:r>
          <w:r>
            <w:instrText xml:space="preserve"> PAGEREF _Toc15174 \h </w:instrText>
          </w:r>
          <w:r>
            <w:fldChar w:fldCharType="separate"/>
          </w:r>
          <w:r>
            <w:t>4</w:t>
          </w:r>
          <w:r>
            <w:fldChar w:fldCharType="end"/>
          </w:r>
          <w:r>
            <w:rPr>
              <w:rFonts w:hint="eastAsia" w:ascii="宋体" w:hAnsi="宋体" w:eastAsia="宋体" w:cs="宋体"/>
              <w:szCs w:val="24"/>
            </w:rPr>
            <w:fldChar w:fldCharType="end"/>
          </w:r>
        </w:p>
        <w:p w14:paraId="3B37544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_Toc14031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沟通信息内容</w:t>
          </w:r>
          <w:r>
            <w:tab/>
          </w:r>
          <w:r>
            <w:fldChar w:fldCharType="begin"/>
          </w:r>
          <w:r>
            <w:instrText xml:space="preserve"> PAGEREF _Toc14031 \h </w:instrText>
          </w:r>
          <w:r>
            <w:fldChar w:fldCharType="separate"/>
          </w:r>
          <w:r>
            <w:t>5</w:t>
          </w:r>
          <w:r>
            <w:fldChar w:fldCharType="end"/>
          </w:r>
          <w:r>
            <w:rPr>
              <w:rFonts w:hint="eastAsia" w:ascii="宋体" w:hAnsi="宋体" w:eastAsia="宋体" w:cs="宋体"/>
              <w:szCs w:val="24"/>
            </w:rPr>
            <w:fldChar w:fldCharType="end"/>
          </w:r>
        </w:p>
        <w:p w14:paraId="3B5138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_Toc29890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信息的收集、处理与利用</w:t>
          </w:r>
          <w:r>
            <w:tab/>
          </w:r>
          <w:r>
            <w:fldChar w:fldCharType="begin"/>
          </w:r>
          <w:r>
            <w:instrText xml:space="preserve"> PAGEREF _Toc29890 \h </w:instrText>
          </w:r>
          <w:r>
            <w:fldChar w:fldCharType="separate"/>
          </w:r>
          <w:r>
            <w:t>5</w:t>
          </w:r>
          <w:r>
            <w:fldChar w:fldCharType="end"/>
          </w:r>
          <w:r>
            <w:rPr>
              <w:rFonts w:hint="eastAsia" w:ascii="宋体" w:hAnsi="宋体" w:eastAsia="宋体" w:cs="宋体"/>
              <w:szCs w:val="24"/>
            </w:rPr>
            <w:fldChar w:fldCharType="end"/>
          </w:r>
        </w:p>
        <w:p w14:paraId="0EB5769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协商与信息交流方式</w:t>
          </w:r>
          <w:r>
            <w:tab/>
          </w:r>
          <w:r>
            <w:fldChar w:fldCharType="begin"/>
          </w:r>
          <w:r>
            <w:instrText xml:space="preserve"> PAGEREF _Toc816 \h </w:instrText>
          </w:r>
          <w:r>
            <w:fldChar w:fldCharType="separate"/>
          </w:r>
          <w:r>
            <w:t>5</w:t>
          </w:r>
          <w:r>
            <w:fldChar w:fldCharType="end"/>
          </w:r>
          <w:r>
            <w:rPr>
              <w:rFonts w:hint="eastAsia" w:ascii="宋体" w:hAnsi="宋体" w:eastAsia="宋体" w:cs="宋体"/>
              <w:szCs w:val="24"/>
            </w:rPr>
            <w:fldChar w:fldCharType="end"/>
          </w:r>
        </w:p>
        <w:p w14:paraId="1C7B0F8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_Toc12610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沟通频次</w:t>
          </w:r>
          <w:r>
            <w:tab/>
          </w:r>
          <w:r>
            <w:fldChar w:fldCharType="begin"/>
          </w:r>
          <w:r>
            <w:instrText xml:space="preserve"> PAGEREF _Toc12610 \h </w:instrText>
          </w:r>
          <w:r>
            <w:fldChar w:fldCharType="separate"/>
          </w:r>
          <w:r>
            <w:t>6</w:t>
          </w:r>
          <w:r>
            <w:fldChar w:fldCharType="end"/>
          </w:r>
          <w:r>
            <w:rPr>
              <w:rFonts w:hint="eastAsia" w:ascii="宋体" w:hAnsi="宋体" w:eastAsia="宋体" w:cs="宋体"/>
              <w:szCs w:val="24"/>
            </w:rPr>
            <w:fldChar w:fldCharType="end"/>
          </w:r>
        </w:p>
        <w:p w14:paraId="22205B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_Toc17514 </w:instrText>
          </w:r>
          <w:r>
            <w:rPr>
              <w:rFonts w:hint="eastAsia" w:ascii="宋体" w:hAnsi="宋体" w:eastAsia="宋体" w:cs="宋体"/>
              <w:szCs w:val="24"/>
            </w:rPr>
            <w:fldChar w:fldCharType="separate"/>
          </w:r>
          <w:r>
            <w:rPr>
              <w:rFonts w:hint="default"/>
              <w:lang w:val="en-US" w:eastAsia="zh-CN"/>
            </w:rPr>
            <w:t xml:space="preserve">4.4.1. </w:t>
          </w:r>
          <w:r>
            <w:rPr>
              <w:rFonts w:hint="eastAsia"/>
              <w:lang w:val="en-US" w:eastAsia="zh-CN"/>
            </w:rPr>
            <w:t>例行沟通</w:t>
          </w:r>
          <w:r>
            <w:tab/>
          </w:r>
          <w:r>
            <w:fldChar w:fldCharType="begin"/>
          </w:r>
          <w:r>
            <w:instrText xml:space="preserve"> PAGEREF _Toc17514 \h </w:instrText>
          </w:r>
          <w:r>
            <w:fldChar w:fldCharType="separate"/>
          </w:r>
          <w:r>
            <w:t>6</w:t>
          </w:r>
          <w:r>
            <w:fldChar w:fldCharType="end"/>
          </w:r>
          <w:r>
            <w:rPr>
              <w:rFonts w:hint="eastAsia" w:ascii="宋体" w:hAnsi="宋体" w:eastAsia="宋体" w:cs="宋体"/>
              <w:szCs w:val="24"/>
            </w:rPr>
            <w:fldChar w:fldCharType="end"/>
          </w:r>
        </w:p>
        <w:p w14:paraId="1B183B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_Toc30345 </w:instrText>
          </w:r>
          <w:r>
            <w:rPr>
              <w:rFonts w:hint="eastAsia" w:ascii="宋体" w:hAnsi="宋体" w:eastAsia="宋体" w:cs="宋体"/>
              <w:szCs w:val="24"/>
            </w:rPr>
            <w:fldChar w:fldCharType="separate"/>
          </w:r>
          <w:r>
            <w:rPr>
              <w:rFonts w:hint="default"/>
              <w:lang w:val="en-US" w:eastAsia="zh-CN"/>
            </w:rPr>
            <w:t xml:space="preserve">4.4.2. </w:t>
          </w:r>
          <w:r>
            <w:rPr>
              <w:rFonts w:hint="eastAsia"/>
              <w:lang w:val="en-US" w:eastAsia="zh-CN"/>
            </w:rPr>
            <w:t>事件驱动沟通</w:t>
          </w:r>
          <w:r>
            <w:tab/>
          </w:r>
          <w:r>
            <w:fldChar w:fldCharType="begin"/>
          </w:r>
          <w:r>
            <w:instrText xml:space="preserve"> PAGEREF _Toc30345 \h </w:instrText>
          </w:r>
          <w:r>
            <w:fldChar w:fldCharType="separate"/>
          </w:r>
          <w:r>
            <w:t>6</w:t>
          </w:r>
          <w:r>
            <w:fldChar w:fldCharType="end"/>
          </w:r>
          <w:r>
            <w:rPr>
              <w:rFonts w:hint="eastAsia" w:ascii="宋体" w:hAnsi="宋体" w:eastAsia="宋体" w:cs="宋体"/>
              <w:szCs w:val="24"/>
            </w:rPr>
            <w:fldChar w:fldCharType="end"/>
          </w:r>
        </w:p>
        <w:p w14:paraId="5B7FD1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_Toc4692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专项沟通</w:t>
          </w:r>
          <w:r>
            <w:tab/>
          </w:r>
          <w:r>
            <w:fldChar w:fldCharType="begin"/>
          </w:r>
          <w:r>
            <w:instrText xml:space="preserve"> PAGEREF _Toc4692 \h </w:instrText>
          </w:r>
          <w:r>
            <w:fldChar w:fldCharType="separate"/>
          </w:r>
          <w:r>
            <w:t>6</w:t>
          </w:r>
          <w:r>
            <w:fldChar w:fldCharType="end"/>
          </w:r>
          <w:r>
            <w:rPr>
              <w:rFonts w:hint="eastAsia" w:ascii="宋体" w:hAnsi="宋体" w:eastAsia="宋体" w:cs="宋体"/>
              <w:szCs w:val="24"/>
            </w:rPr>
            <w:fldChar w:fldCharType="end"/>
          </w:r>
        </w:p>
        <w:p w14:paraId="460EED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沟通记录管理</w:t>
          </w:r>
          <w:r>
            <w:tab/>
          </w:r>
          <w:r>
            <w:fldChar w:fldCharType="begin"/>
          </w:r>
          <w:r>
            <w:instrText xml:space="preserve"> PAGEREF _Toc2478 \h </w:instrText>
          </w:r>
          <w:r>
            <w:fldChar w:fldCharType="separate"/>
          </w:r>
          <w:r>
            <w:t>6</w:t>
          </w:r>
          <w:r>
            <w:fldChar w:fldCharType="end"/>
          </w:r>
          <w:r>
            <w:rPr>
              <w:rFonts w:hint="eastAsia" w:ascii="宋体" w:hAnsi="宋体" w:eastAsia="宋体" w:cs="宋体"/>
              <w:szCs w:val="24"/>
            </w:rPr>
            <w:fldChar w:fldCharType="end"/>
          </w:r>
        </w:p>
        <w:p w14:paraId="64BD9CE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_Toc24539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相关记录</w:t>
          </w:r>
          <w:r>
            <w:tab/>
          </w:r>
          <w:r>
            <w:fldChar w:fldCharType="begin"/>
          </w:r>
          <w:r>
            <w:instrText xml:space="preserve"> PAGEREF _Toc24539 \h </w:instrText>
          </w:r>
          <w:r>
            <w:fldChar w:fldCharType="separate"/>
          </w:r>
          <w:r>
            <w:t>6</w:t>
          </w:r>
          <w:r>
            <w:fldChar w:fldCharType="end"/>
          </w:r>
          <w:r>
            <w:rPr>
              <w:rFonts w:hint="eastAsia" w:ascii="宋体" w:hAnsi="宋体" w:eastAsia="宋体" w:cs="宋体"/>
              <w:szCs w:val="24"/>
            </w:rPr>
            <w:fldChar w:fldCharType="end"/>
          </w:r>
        </w:p>
        <w:p w14:paraId="109223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00D879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B58F25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2405"/>
      <w:r>
        <w:rPr>
          <w:rFonts w:hint="eastAsia"/>
          <w:lang w:val="en-US" w:eastAsia="zh-CN"/>
        </w:rPr>
        <w:t>目的</w:t>
      </w:r>
      <w:bookmarkEnd w:id="2"/>
    </w:p>
    <w:p w14:paraId="6B0DF6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规范、高效的内外部沟通机制，确保公司（供方）与客户（需方）及相关方之间的信息得到及时、准确、有效的传递与交流，充分理解并满足需方的服务诉求，提升服务透明度和客户满意度，保障运维服务工作的协同性与有效性，特制定本制度。</w:t>
      </w:r>
    </w:p>
    <w:p w14:paraId="4DFF017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3761"/>
      <w:r>
        <w:rPr>
          <w:rFonts w:hint="eastAsia"/>
          <w:lang w:val="en-US" w:eastAsia="zh-CN"/>
        </w:rPr>
        <w:t>适用范围</w:t>
      </w:r>
      <w:bookmarkEnd w:id="3"/>
    </w:p>
    <w:p w14:paraId="53A023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本制度适用于公司所有软件运维服务活动中，与需方及相关方就服务事项进行的协商、信息交流与沟通管理。</w:t>
      </w:r>
    </w:p>
    <w:p w14:paraId="1E895E0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0840"/>
      <w:r>
        <w:rPr>
          <w:rFonts w:hint="eastAsia"/>
          <w:lang w:val="en-US" w:eastAsia="zh-CN"/>
        </w:rPr>
        <w:t>职责</w:t>
      </w:r>
      <w:bookmarkEnd w:id="4"/>
    </w:p>
    <w:p w14:paraId="2EF684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735"/>
      <w:r>
        <w:rPr>
          <w:rFonts w:hint="eastAsia"/>
          <w:lang w:val="en-US" w:eastAsia="zh-CN"/>
        </w:rPr>
        <w:t>公司管理层</w:t>
      </w:r>
      <w:bookmarkEnd w:id="5"/>
    </w:p>
    <w:p w14:paraId="4A46DF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确保在公司内部及与需方、相关方之间建立并维护有效的沟通渠道，对沟通的有效性进行监督。</w:t>
      </w:r>
    </w:p>
    <w:p w14:paraId="336B75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088"/>
      <w:r>
        <w:rPr>
          <w:rFonts w:hint="eastAsia"/>
          <w:lang w:val="en-US" w:eastAsia="zh-CN"/>
        </w:rPr>
        <w:t>质量管理部</w:t>
      </w:r>
      <w:bookmarkEnd w:id="6"/>
    </w:p>
    <w:p w14:paraId="65E47B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作为沟通管理的归口监督部门，负责监督本制度的执行，定期收集、处理和反馈内外部沟通信息，特别是需方满意度与意见。</w:t>
      </w:r>
    </w:p>
    <w:p w14:paraId="4A793DB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6910"/>
      <w:r>
        <w:rPr>
          <w:rFonts w:hint="eastAsia"/>
          <w:lang w:val="en-US" w:eastAsia="zh-CN"/>
        </w:rPr>
        <w:t>数智运营部</w:t>
      </w:r>
      <w:bookmarkEnd w:id="7"/>
    </w:p>
    <w:p w14:paraId="60F550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数智运营部经理：负责部门层面与需方重要信息的审批与传递，确保沟通内容准确、及时。</w:t>
      </w:r>
    </w:p>
    <w:p w14:paraId="59CCB2A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2198"/>
      <w:r>
        <w:rPr>
          <w:rFonts w:hint="eastAsia"/>
          <w:lang w:val="en-US" w:eastAsia="zh-CN"/>
        </w:rPr>
        <w:t>运维项目经理</w:t>
      </w:r>
      <w:bookmarkEnd w:id="8"/>
    </w:p>
    <w:p w14:paraId="3868B3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作为具体运维项目的需方沟通第一责任人，全面负责项目周期内与需方的日常沟通、需求确认、问题反馈、服务报告交付及关系维护。</w:t>
      </w:r>
    </w:p>
    <w:p w14:paraId="5C7FD33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5174"/>
      <w:r>
        <w:rPr>
          <w:rFonts w:hint="eastAsia"/>
          <w:lang w:val="en-US" w:eastAsia="zh-CN"/>
        </w:rPr>
        <w:t>工作程序</w:t>
      </w:r>
      <w:bookmarkEnd w:id="9"/>
    </w:p>
    <w:p w14:paraId="6E0A3D0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4031"/>
      <w:r>
        <w:rPr>
          <w:rFonts w:hint="eastAsia"/>
          <w:lang w:val="en-US" w:eastAsia="zh-CN"/>
        </w:rPr>
        <w:t>沟通信息内容</w:t>
      </w:r>
      <w:bookmarkEnd w:id="10"/>
    </w:p>
    <w:p w14:paraId="64DA91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内部沟通（公司各部门、各层级间）主要信息包括：</w:t>
      </w:r>
    </w:p>
    <w:p w14:paraId="4B129FD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公司质量方针、管理制度的发布、修订及执行情况。</w:t>
      </w:r>
    </w:p>
    <w:p w14:paraId="42EBD14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运维服务管理体系绩效的监视和测量结果（如SLA/KPI达成情况）。</w:t>
      </w:r>
    </w:p>
    <w:p w14:paraId="596BBAB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内部审核、管理评审的结果及改进要求的落实情况。</w:t>
      </w:r>
    </w:p>
    <w:p w14:paraId="49C04EB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重大客户投诉、重大服务事件的分析与处理进展。</w:t>
      </w:r>
    </w:p>
    <w:p w14:paraId="30C98D0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《运维服务目录》的变更信息。</w:t>
      </w:r>
    </w:p>
    <w:p w14:paraId="7505537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需方及外部相关方的重大意见、要求或反馈。</w:t>
      </w:r>
    </w:p>
    <w:p w14:paraId="265D4BD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影响服务有效性的其他重要内部信息（如技术风险、资源瓶颈等）。</w:t>
      </w:r>
    </w:p>
    <w:p w14:paraId="25D03F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外部沟通（与需方及相关方）主要信息包括：</w:t>
      </w:r>
    </w:p>
    <w:p w14:paraId="664B050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服务级别协议（SLA）的履行情况、服务报告。</w:t>
      </w:r>
    </w:p>
    <w:p w14:paraId="2E8451F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服务变更（范围、时间、成本等）的提议、评审与批准。</w:t>
      </w:r>
    </w:p>
    <w:p w14:paraId="3428F99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事件（特别是重大事件）的状态、处理进展与根本原因分析。</w:t>
      </w:r>
    </w:p>
    <w:p w14:paraId="6F1D1D4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需方提出的新需求、投诉、建议及表扬。</w:t>
      </w:r>
    </w:p>
    <w:p w14:paraId="11C6BCD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定期服务评审会议的议题与决议。</w:t>
      </w:r>
    </w:p>
    <w:p w14:paraId="57E8EC0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公司介绍、服务能力说明、相关政策调整等需知会需方的信息。</w:t>
      </w:r>
    </w:p>
    <w:p w14:paraId="53238D7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与服务质量相关的法律、法规及其他要求的变化。</w:t>
      </w:r>
    </w:p>
    <w:p w14:paraId="3848F3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9890"/>
      <w:r>
        <w:rPr>
          <w:rFonts w:hint="eastAsia"/>
          <w:lang w:val="en-US" w:eastAsia="zh-CN"/>
        </w:rPr>
        <w:t>信息的收集、处理与利用</w:t>
      </w:r>
      <w:bookmarkEnd w:id="11"/>
    </w:p>
    <w:p w14:paraId="5A1483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内部信息由产生部门负责记录、处理和传递。质量管理部定期主动收集各部门在服务过程中获得的需方反馈及改进建议，进行分析与分发。</w:t>
      </w:r>
    </w:p>
    <w:p w14:paraId="05C8FF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外部信息（主要来自需方）由首次接触部门（如服务台、运维项目经理）负责接收、记录于《信息交流处理单》，并依据信息性质进行处理或上报。确保需方的任何意见、要求都能得到及时响应与闭环处理。</w:t>
      </w:r>
    </w:p>
    <w:p w14:paraId="433740F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816"/>
      <w:r>
        <w:rPr>
          <w:rFonts w:hint="eastAsia"/>
          <w:lang w:val="en-US" w:eastAsia="zh-CN"/>
        </w:rPr>
        <w:t>协商与信息交流方式</w:t>
      </w:r>
      <w:bookmarkEnd w:id="12"/>
    </w:p>
    <w:p w14:paraId="25DFB2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内部沟通方式：包括但不限于公司文件/通知、例会、专题会议、内部报告、内网公告、即时通讯工具、电子邮件等。</w:t>
      </w:r>
    </w:p>
    <w:p w14:paraId="2D7F46F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外部沟通方式：应根据沟通内容、紧急程度和需方偏好灵活选择，包括但不限于：</w:t>
      </w:r>
    </w:p>
    <w:p w14:paraId="4F78025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正式书面：服务报告、会议纪要、工作联络单、合同/协议变更文件。</w:t>
      </w:r>
    </w:p>
    <w:p w14:paraId="365BEBB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会议：定期服务评审会、项目例会、专题研讨会、电话/视频会议。</w:t>
      </w:r>
    </w:p>
    <w:p w14:paraId="3396F93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即时沟通：电话、企业微信/钉钉等即时通讯工具（用于日常事务沟通）。</w:t>
      </w:r>
    </w:p>
    <w:p w14:paraId="5F61B04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面对面交流：定期/不定期走访、现场协调会。</w:t>
      </w:r>
    </w:p>
    <w:p w14:paraId="600B844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运维项目经理是外部沟通的核心协调人，负责确保沟通渠道畅通，信息准确传达。</w:t>
      </w:r>
    </w:p>
    <w:p w14:paraId="4542A2E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2610"/>
      <w:r>
        <w:rPr>
          <w:rFonts w:hint="eastAsia"/>
          <w:lang w:val="en-US" w:eastAsia="zh-CN"/>
        </w:rPr>
        <w:t>沟通频次</w:t>
      </w:r>
      <w:bookmarkEnd w:id="13"/>
    </w:p>
    <w:p w14:paraId="00C3BEC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7514"/>
      <w:r>
        <w:rPr>
          <w:rFonts w:hint="eastAsia"/>
          <w:lang w:val="en-US" w:eastAsia="zh-CN"/>
        </w:rPr>
        <w:t>例行沟通</w:t>
      </w:r>
      <w:bookmarkEnd w:id="14"/>
    </w:p>
    <w:p w14:paraId="0221A8F9">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bookmarkStart w:id="19" w:name="_GoBack"/>
      <w:bookmarkEnd w:id="19"/>
      <w:r>
        <w:rPr>
          <w:rFonts w:hint="eastAsia"/>
          <w:lang w:val="en-US" w:eastAsia="zh-CN"/>
        </w:rPr>
        <w:t>服务报告：按SLA约定周期（通常为月度/季度）提交。</w:t>
      </w:r>
    </w:p>
    <w:p w14:paraId="2A23E9F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服务评审会议：至少每季度一次，与需方回顾服务绩效，讨论改进措施。</w:t>
      </w:r>
    </w:p>
    <w:p w14:paraId="351FA8C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项目例会：根据项目需要定期召开（如双周会）。</w:t>
      </w:r>
    </w:p>
    <w:p w14:paraId="0430D88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30345"/>
      <w:r>
        <w:rPr>
          <w:rFonts w:hint="eastAsia"/>
          <w:lang w:val="en-US" w:eastAsia="zh-CN"/>
        </w:rPr>
        <w:t>事件驱动沟通</w:t>
      </w:r>
      <w:bookmarkEnd w:id="15"/>
    </w:p>
    <w:p w14:paraId="37E9FD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对于服务请求、事件（尤其是重大事件）、变更等，严格按照相关流程定义的时限和要求进行沟通。</w:t>
      </w:r>
    </w:p>
    <w:p w14:paraId="0E5142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4692"/>
      <w:r>
        <w:rPr>
          <w:rFonts w:hint="eastAsia"/>
          <w:lang w:val="en-US" w:eastAsia="zh-CN"/>
        </w:rPr>
        <w:t>专项沟通</w:t>
      </w:r>
      <w:bookmarkEnd w:id="16"/>
    </w:p>
    <w:p w14:paraId="72C995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如服务范围变更、合同续签、年度满意度调查等，按需安排。</w:t>
      </w:r>
    </w:p>
    <w:p w14:paraId="1F96EC6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478"/>
      <w:r>
        <w:rPr>
          <w:rFonts w:hint="eastAsia"/>
          <w:lang w:val="en-US" w:eastAsia="zh-CN"/>
        </w:rPr>
        <w:t>沟通记录管理</w:t>
      </w:r>
      <w:bookmarkEnd w:id="17"/>
    </w:p>
    <w:p w14:paraId="12952A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正式的、重要的内外部沟通，特别是与需方的会议、关键决策、需求确认、投诉处理等，均应保留可追溯的记录。记录形式包括会议纪要、邮件归档、《信息交流处理单》、签收单等。相关记录由责任部门妥善保存，并按要求归档。</w:t>
      </w:r>
    </w:p>
    <w:p w14:paraId="42242C1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4539"/>
      <w:r>
        <w:rPr>
          <w:rFonts w:hint="eastAsia"/>
          <w:lang w:val="en-US" w:eastAsia="zh-CN"/>
        </w:rPr>
        <w:t>相关记录</w:t>
      </w:r>
      <w:bookmarkEnd w:id="18"/>
    </w:p>
    <w:p w14:paraId="4B401AD9">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《信息交流处理单》</w:t>
      </w:r>
    </w:p>
    <w:p w14:paraId="0A049D8B">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《服务评审会议纪要》</w:t>
      </w:r>
    </w:p>
    <w:p w14:paraId="4E3963D7">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《客户沟通记录表》</w:t>
      </w:r>
    </w:p>
    <w:p w14:paraId="2AF100BC">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《需方项目联系人清单》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EF4F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1BE283B"/>
    <w:multiLevelType w:val="singleLevel"/>
    <w:tmpl w:val="11BE283B"/>
    <w:lvl w:ilvl="0" w:tentative="0">
      <w:start w:val="1"/>
      <w:numFmt w:val="decimal"/>
      <w:lvlText w:val="%1."/>
      <w:lvlJc w:val="left"/>
      <w:pPr>
        <w:ind w:left="425" w:hanging="425"/>
      </w:pPr>
      <w:rPr>
        <w:rFonts w:hint="default"/>
      </w:rPr>
    </w:lvl>
  </w:abstractNum>
  <w:abstractNum w:abstractNumId="2">
    <w:nsid w:val="1CA59CB0"/>
    <w:multiLevelType w:val="singleLevel"/>
    <w:tmpl w:val="1CA59CB0"/>
    <w:lvl w:ilvl="0" w:tentative="0">
      <w:start w:val="1"/>
      <w:numFmt w:val="decimal"/>
      <w:lvlText w:val="%1."/>
      <w:lvlJc w:val="left"/>
      <w:pPr>
        <w:ind w:left="425" w:hanging="425"/>
      </w:pPr>
      <w:rPr>
        <w:rFonts w:hint="default"/>
      </w:rPr>
    </w:lvl>
  </w:abstractNum>
  <w:abstractNum w:abstractNumId="3">
    <w:nsid w:val="275EF6BE"/>
    <w:multiLevelType w:val="singleLevel"/>
    <w:tmpl w:val="275EF6BE"/>
    <w:lvl w:ilvl="0" w:tentative="0">
      <w:start w:val="1"/>
      <w:numFmt w:val="decimal"/>
      <w:lvlText w:val="%1."/>
      <w:lvlJc w:val="left"/>
      <w:pPr>
        <w:ind w:left="425" w:hanging="425"/>
      </w:pPr>
      <w:rPr>
        <w:rFonts w:hint="default"/>
      </w:rPr>
    </w:lvl>
  </w:abstractNum>
  <w:abstractNum w:abstractNumId="4">
    <w:nsid w:val="4D2D477C"/>
    <w:multiLevelType w:val="singleLevel"/>
    <w:tmpl w:val="4D2D477C"/>
    <w:lvl w:ilvl="0" w:tentative="0">
      <w:start w:val="1"/>
      <w:numFmt w:val="decimal"/>
      <w:lvlText w:val="%1."/>
      <w:lvlJc w:val="left"/>
      <w:pPr>
        <w:ind w:left="425" w:hanging="425"/>
      </w:pPr>
      <w:rPr>
        <w:rFonts w:hint="default"/>
      </w:rPr>
    </w:lvl>
  </w:abstractNum>
  <w:abstractNum w:abstractNumId="5">
    <w:nsid w:val="6B6C74FE"/>
    <w:multiLevelType w:val="singleLevel"/>
    <w:tmpl w:val="6B6C74FE"/>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6375D"/>
    <w:rsid w:val="00EA3316"/>
    <w:rsid w:val="01161381"/>
    <w:rsid w:val="014F219D"/>
    <w:rsid w:val="019329D2"/>
    <w:rsid w:val="01E4322D"/>
    <w:rsid w:val="040000C7"/>
    <w:rsid w:val="04DC3B8C"/>
    <w:rsid w:val="04E23328"/>
    <w:rsid w:val="04F55751"/>
    <w:rsid w:val="05216546"/>
    <w:rsid w:val="054D733B"/>
    <w:rsid w:val="05A351AD"/>
    <w:rsid w:val="05F61781"/>
    <w:rsid w:val="06732DD2"/>
    <w:rsid w:val="0937357F"/>
    <w:rsid w:val="09EF44EC"/>
    <w:rsid w:val="0A073F5D"/>
    <w:rsid w:val="0A3463D4"/>
    <w:rsid w:val="0A9652E1"/>
    <w:rsid w:val="0B4E34C6"/>
    <w:rsid w:val="0B4E5BBB"/>
    <w:rsid w:val="0B8B296C"/>
    <w:rsid w:val="0C9910B8"/>
    <w:rsid w:val="0DC65EDD"/>
    <w:rsid w:val="0DEB5944"/>
    <w:rsid w:val="0F212A6D"/>
    <w:rsid w:val="0F9067A2"/>
    <w:rsid w:val="112E6273"/>
    <w:rsid w:val="11714438"/>
    <w:rsid w:val="118714DF"/>
    <w:rsid w:val="11AB78C4"/>
    <w:rsid w:val="11AE5AE4"/>
    <w:rsid w:val="11FC011F"/>
    <w:rsid w:val="12EC0194"/>
    <w:rsid w:val="12F86B39"/>
    <w:rsid w:val="131E7C21"/>
    <w:rsid w:val="136E6DFB"/>
    <w:rsid w:val="139B3968"/>
    <w:rsid w:val="13A10F7E"/>
    <w:rsid w:val="13C133CE"/>
    <w:rsid w:val="14706BA3"/>
    <w:rsid w:val="149A3C1F"/>
    <w:rsid w:val="15915022"/>
    <w:rsid w:val="15BB209F"/>
    <w:rsid w:val="15DB44F0"/>
    <w:rsid w:val="16B70AB9"/>
    <w:rsid w:val="182B350C"/>
    <w:rsid w:val="182E4DAB"/>
    <w:rsid w:val="18EC1B91"/>
    <w:rsid w:val="194F322A"/>
    <w:rsid w:val="1A116732"/>
    <w:rsid w:val="1AC83294"/>
    <w:rsid w:val="1B1A7868"/>
    <w:rsid w:val="1B26620D"/>
    <w:rsid w:val="1D350989"/>
    <w:rsid w:val="1D8B67FB"/>
    <w:rsid w:val="1D9A259A"/>
    <w:rsid w:val="1E827BFE"/>
    <w:rsid w:val="1EB4768C"/>
    <w:rsid w:val="1FE16BA6"/>
    <w:rsid w:val="20254CE5"/>
    <w:rsid w:val="20457135"/>
    <w:rsid w:val="207812B9"/>
    <w:rsid w:val="21224D81"/>
    <w:rsid w:val="21D70261"/>
    <w:rsid w:val="221B63A0"/>
    <w:rsid w:val="22623FCE"/>
    <w:rsid w:val="22813D29"/>
    <w:rsid w:val="22BF31CF"/>
    <w:rsid w:val="23244DE0"/>
    <w:rsid w:val="233C481F"/>
    <w:rsid w:val="23B95E70"/>
    <w:rsid w:val="2423778D"/>
    <w:rsid w:val="26926505"/>
    <w:rsid w:val="26CF59AB"/>
    <w:rsid w:val="27787DF0"/>
    <w:rsid w:val="28996270"/>
    <w:rsid w:val="28C01A4F"/>
    <w:rsid w:val="28EA6ACC"/>
    <w:rsid w:val="294206B6"/>
    <w:rsid w:val="2A6B1546"/>
    <w:rsid w:val="2AED28A3"/>
    <w:rsid w:val="2C5801F0"/>
    <w:rsid w:val="2CFC5020"/>
    <w:rsid w:val="2D285E15"/>
    <w:rsid w:val="2DA57465"/>
    <w:rsid w:val="2DCA6ECC"/>
    <w:rsid w:val="2F6F7D2B"/>
    <w:rsid w:val="2FC82F97"/>
    <w:rsid w:val="303D1BD7"/>
    <w:rsid w:val="30BC6FA0"/>
    <w:rsid w:val="30C145B6"/>
    <w:rsid w:val="310D77FB"/>
    <w:rsid w:val="32612937"/>
    <w:rsid w:val="329F0927"/>
    <w:rsid w:val="32D700C1"/>
    <w:rsid w:val="32FC7B27"/>
    <w:rsid w:val="335C4122"/>
    <w:rsid w:val="33AA05E8"/>
    <w:rsid w:val="33D41194"/>
    <w:rsid w:val="341E1D1F"/>
    <w:rsid w:val="343D03F7"/>
    <w:rsid w:val="344E43B3"/>
    <w:rsid w:val="34763909"/>
    <w:rsid w:val="347B0F20"/>
    <w:rsid w:val="34844406"/>
    <w:rsid w:val="351D1FD7"/>
    <w:rsid w:val="35B446E9"/>
    <w:rsid w:val="36962041"/>
    <w:rsid w:val="36EF52AD"/>
    <w:rsid w:val="37111425"/>
    <w:rsid w:val="37B179ED"/>
    <w:rsid w:val="37BC000F"/>
    <w:rsid w:val="380C3C8E"/>
    <w:rsid w:val="39094D4C"/>
    <w:rsid w:val="395A55A8"/>
    <w:rsid w:val="39AB429F"/>
    <w:rsid w:val="39AD1B7B"/>
    <w:rsid w:val="3A053765"/>
    <w:rsid w:val="3A074E84"/>
    <w:rsid w:val="3A563FC1"/>
    <w:rsid w:val="3AE07D2F"/>
    <w:rsid w:val="3AFA0DF0"/>
    <w:rsid w:val="3E285C74"/>
    <w:rsid w:val="3E66679D"/>
    <w:rsid w:val="3E6E11AD"/>
    <w:rsid w:val="3EA6303D"/>
    <w:rsid w:val="3EF26282"/>
    <w:rsid w:val="3F5D7BA0"/>
    <w:rsid w:val="3FAE03FB"/>
    <w:rsid w:val="3FB35A12"/>
    <w:rsid w:val="3FEF55C5"/>
    <w:rsid w:val="40153057"/>
    <w:rsid w:val="40D43E92"/>
    <w:rsid w:val="417E7959"/>
    <w:rsid w:val="41A41AB6"/>
    <w:rsid w:val="43036368"/>
    <w:rsid w:val="43607C5E"/>
    <w:rsid w:val="436D237B"/>
    <w:rsid w:val="4455528C"/>
    <w:rsid w:val="44935E12"/>
    <w:rsid w:val="46AD66B5"/>
    <w:rsid w:val="472B0583"/>
    <w:rsid w:val="48537D92"/>
    <w:rsid w:val="48BF5427"/>
    <w:rsid w:val="48E924A4"/>
    <w:rsid w:val="4948541D"/>
    <w:rsid w:val="496F0BFB"/>
    <w:rsid w:val="4ABF170F"/>
    <w:rsid w:val="4B771FE9"/>
    <w:rsid w:val="4BE60F1D"/>
    <w:rsid w:val="4C404189"/>
    <w:rsid w:val="4C891FD4"/>
    <w:rsid w:val="4C8F3363"/>
    <w:rsid w:val="4CE03BBE"/>
    <w:rsid w:val="4CE23D45"/>
    <w:rsid w:val="4D07739D"/>
    <w:rsid w:val="4DB017E2"/>
    <w:rsid w:val="4DD728CB"/>
    <w:rsid w:val="4E2D2E33"/>
    <w:rsid w:val="4E7E368F"/>
    <w:rsid w:val="4EF83441"/>
    <w:rsid w:val="4F2E29BF"/>
    <w:rsid w:val="4FA7451F"/>
    <w:rsid w:val="50483F54"/>
    <w:rsid w:val="533F05E1"/>
    <w:rsid w:val="53547C42"/>
    <w:rsid w:val="53D43C9C"/>
    <w:rsid w:val="53DC50DF"/>
    <w:rsid w:val="54085ED4"/>
    <w:rsid w:val="54857525"/>
    <w:rsid w:val="54AB2D04"/>
    <w:rsid w:val="55284354"/>
    <w:rsid w:val="55306D65"/>
    <w:rsid w:val="55805F3E"/>
    <w:rsid w:val="564B654C"/>
    <w:rsid w:val="56FA762A"/>
    <w:rsid w:val="5705494D"/>
    <w:rsid w:val="574511ED"/>
    <w:rsid w:val="574A6804"/>
    <w:rsid w:val="579B705F"/>
    <w:rsid w:val="57EE3633"/>
    <w:rsid w:val="586B4C84"/>
    <w:rsid w:val="59B83EF9"/>
    <w:rsid w:val="59E20F76"/>
    <w:rsid w:val="5A225816"/>
    <w:rsid w:val="5A355549"/>
    <w:rsid w:val="5A3B68D8"/>
    <w:rsid w:val="5AAD1584"/>
    <w:rsid w:val="5B2A2BD4"/>
    <w:rsid w:val="5B2F01EA"/>
    <w:rsid w:val="5BA87F9D"/>
    <w:rsid w:val="5BAC183B"/>
    <w:rsid w:val="5BD40D92"/>
    <w:rsid w:val="5BFE5E0F"/>
    <w:rsid w:val="5CCE3A33"/>
    <w:rsid w:val="5D775E79"/>
    <w:rsid w:val="5DC866D4"/>
    <w:rsid w:val="5E096E10"/>
    <w:rsid w:val="5E211941"/>
    <w:rsid w:val="5E9D190F"/>
    <w:rsid w:val="5ED74E21"/>
    <w:rsid w:val="5F0E45BB"/>
    <w:rsid w:val="5F230066"/>
    <w:rsid w:val="5F7A755A"/>
    <w:rsid w:val="60433DF0"/>
    <w:rsid w:val="615C785F"/>
    <w:rsid w:val="61700C15"/>
    <w:rsid w:val="61D90EB0"/>
    <w:rsid w:val="62051CA5"/>
    <w:rsid w:val="62D60F4C"/>
    <w:rsid w:val="64EE729B"/>
    <w:rsid w:val="64EF09EB"/>
    <w:rsid w:val="651B17E0"/>
    <w:rsid w:val="65BF660F"/>
    <w:rsid w:val="66952ECC"/>
    <w:rsid w:val="66B912B0"/>
    <w:rsid w:val="66C739CD"/>
    <w:rsid w:val="67896ED4"/>
    <w:rsid w:val="688B4586"/>
    <w:rsid w:val="68906E9A"/>
    <w:rsid w:val="68C33D20"/>
    <w:rsid w:val="697D70FF"/>
    <w:rsid w:val="6A151116"/>
    <w:rsid w:val="6A2829D5"/>
    <w:rsid w:val="6A745C1A"/>
    <w:rsid w:val="6A793230"/>
    <w:rsid w:val="6A9E2C97"/>
    <w:rsid w:val="6B225676"/>
    <w:rsid w:val="6C6E48EB"/>
    <w:rsid w:val="6D3E2288"/>
    <w:rsid w:val="6DBC51E2"/>
    <w:rsid w:val="6DE85FD7"/>
    <w:rsid w:val="6E0C43BB"/>
    <w:rsid w:val="6E5D4C17"/>
    <w:rsid w:val="6F0357BE"/>
    <w:rsid w:val="70291255"/>
    <w:rsid w:val="70BA3C5B"/>
    <w:rsid w:val="714F4CEB"/>
    <w:rsid w:val="717C6C3D"/>
    <w:rsid w:val="717C7162"/>
    <w:rsid w:val="71E573FD"/>
    <w:rsid w:val="71F31B1A"/>
    <w:rsid w:val="72BA2638"/>
    <w:rsid w:val="731A6C33"/>
    <w:rsid w:val="736A5E0C"/>
    <w:rsid w:val="73E7745D"/>
    <w:rsid w:val="750E0AAE"/>
    <w:rsid w:val="753C37D8"/>
    <w:rsid w:val="755F74C6"/>
    <w:rsid w:val="75FE6CDF"/>
    <w:rsid w:val="765B5EE0"/>
    <w:rsid w:val="773D3837"/>
    <w:rsid w:val="7750356B"/>
    <w:rsid w:val="775663DB"/>
    <w:rsid w:val="777A05E8"/>
    <w:rsid w:val="77F4039A"/>
    <w:rsid w:val="78054355"/>
    <w:rsid w:val="78232A2D"/>
    <w:rsid w:val="782567A5"/>
    <w:rsid w:val="78767001"/>
    <w:rsid w:val="7A146AD1"/>
    <w:rsid w:val="7A5A200A"/>
    <w:rsid w:val="7A992B33"/>
    <w:rsid w:val="7AB12572"/>
    <w:rsid w:val="7AC53928"/>
    <w:rsid w:val="7AE91D0C"/>
    <w:rsid w:val="7B7A6E08"/>
    <w:rsid w:val="7D4F6073"/>
    <w:rsid w:val="7E4B4A8C"/>
    <w:rsid w:val="7E7C2E97"/>
    <w:rsid w:val="7EF46ED2"/>
    <w:rsid w:val="7F4C0ABC"/>
    <w:rsid w:val="7F710522"/>
    <w:rsid w:val="7FB126CD"/>
    <w:rsid w:val="7FDD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1743</Words>
  <Characters>1855</Characters>
  <Lines>0</Lines>
  <Paragraphs>0</Paragraphs>
  <TotalTime>0</TotalTime>
  <ScaleCrop>false</ScaleCrop>
  <LinksUpToDate>false</LinksUpToDate>
  <CharactersWithSpaces>1939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2026-02-04T15:31:33Z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