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9B1C7">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3638"/>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082A95AC">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8548"/>
      <w:r>
        <w:rPr>
          <w:rFonts w:hint="eastAsia"/>
          <w:lang w:val="en-US" w:eastAsia="zh-CN"/>
        </w:rPr>
        <w:t>运维服务内审管理制度</w:t>
      </w:r>
      <w:bookmarkEnd w:id="1"/>
    </w:p>
    <w:p w14:paraId="098AAC8B">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9D01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160845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人力部</w:t>
            </w:r>
          </w:p>
        </w:tc>
        <w:tc>
          <w:tcPr>
            <w:tcW w:w="2708" w:type="dxa"/>
          </w:tcPr>
          <w:p w14:paraId="1EFCAEC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3915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1D4011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A907BF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4D14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0F2F430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3011472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356A83E9">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1F31398F">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41E8A1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C6BA393">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1FD6B014">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B5C2975">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4E10DA4">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3C7C93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7420A568">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E9044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71756FB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tcPr>
          <w:p w14:paraId="743577C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221FFBAA">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4A02A676">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60FF8D42">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30057870">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5691F5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42C627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FF92E2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39ED7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3D3500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2324D68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4EFD87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3B925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EAD8DC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C641E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BE6552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6568A23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055FC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44B71F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702C6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143E3B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AF3894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CB03C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A90DBD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80C948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80EB5B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A677E0F">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AE219A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B7DCE6F">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_Toc23638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_Toc23638 \h </w:instrText>
          </w:r>
          <w:r>
            <w:fldChar w:fldCharType="separate"/>
          </w:r>
          <w:r>
            <w:t>1</w:t>
          </w:r>
          <w:r>
            <w:fldChar w:fldCharType="end"/>
          </w:r>
          <w:r>
            <w:rPr>
              <w:rFonts w:hint="eastAsia" w:ascii="宋体" w:hAnsi="宋体" w:eastAsia="宋体" w:cs="宋体"/>
              <w:szCs w:val="24"/>
            </w:rPr>
            <w:fldChar w:fldCharType="end"/>
          </w:r>
        </w:p>
        <w:p w14:paraId="152A3FE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_Toc18548 </w:instrText>
          </w:r>
          <w:r>
            <w:rPr>
              <w:rFonts w:hint="eastAsia" w:ascii="宋体" w:hAnsi="宋体" w:eastAsia="宋体" w:cs="宋体"/>
              <w:szCs w:val="24"/>
            </w:rPr>
            <w:fldChar w:fldCharType="separate"/>
          </w:r>
          <w:r>
            <w:rPr>
              <w:rFonts w:hint="eastAsia"/>
              <w:lang w:val="en-US" w:eastAsia="zh-CN"/>
            </w:rPr>
            <w:t>运维服务内审管理制度</w:t>
          </w:r>
          <w:r>
            <w:tab/>
          </w:r>
          <w:r>
            <w:fldChar w:fldCharType="begin"/>
          </w:r>
          <w:r>
            <w:instrText xml:space="preserve"> PAGEREF _Toc18548 \h </w:instrText>
          </w:r>
          <w:r>
            <w:fldChar w:fldCharType="separate"/>
          </w:r>
          <w:r>
            <w:t>1</w:t>
          </w:r>
          <w:r>
            <w:fldChar w:fldCharType="end"/>
          </w:r>
          <w:r>
            <w:rPr>
              <w:rFonts w:hint="eastAsia" w:ascii="宋体" w:hAnsi="宋体" w:eastAsia="宋体" w:cs="宋体"/>
              <w:szCs w:val="24"/>
            </w:rPr>
            <w:fldChar w:fldCharType="end"/>
          </w:r>
        </w:p>
        <w:p w14:paraId="169F174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_Toc30694 </w:instrText>
          </w:r>
          <w:r>
            <w:rPr>
              <w:rFonts w:hint="eastAsia" w:ascii="宋体" w:hAnsi="宋体" w:eastAsia="宋体" w:cs="宋体"/>
              <w:szCs w:val="24"/>
            </w:rPr>
            <w:fldChar w:fldCharType="separate"/>
          </w:r>
          <w:r>
            <w:rPr>
              <w:rFonts w:hint="default"/>
              <w:lang w:val="en-US" w:eastAsia="zh-CN"/>
            </w:rPr>
            <w:t>1. 目的</w:t>
          </w:r>
          <w:r>
            <w:tab/>
          </w:r>
          <w:r>
            <w:fldChar w:fldCharType="begin"/>
          </w:r>
          <w:r>
            <w:instrText xml:space="preserve"> PAGEREF _Toc30694 \h </w:instrText>
          </w:r>
          <w:r>
            <w:fldChar w:fldCharType="separate"/>
          </w:r>
          <w:r>
            <w:t>4</w:t>
          </w:r>
          <w:r>
            <w:fldChar w:fldCharType="end"/>
          </w:r>
          <w:r>
            <w:rPr>
              <w:rFonts w:hint="eastAsia" w:ascii="宋体" w:hAnsi="宋体" w:eastAsia="宋体" w:cs="宋体"/>
              <w:szCs w:val="24"/>
            </w:rPr>
            <w:fldChar w:fldCharType="end"/>
          </w:r>
        </w:p>
        <w:p w14:paraId="0A673D0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_Toc19933 </w:instrText>
          </w:r>
          <w:r>
            <w:rPr>
              <w:rFonts w:hint="eastAsia" w:ascii="宋体" w:hAnsi="宋体" w:eastAsia="宋体" w:cs="宋体"/>
              <w:szCs w:val="24"/>
            </w:rPr>
            <w:fldChar w:fldCharType="separate"/>
          </w:r>
          <w:r>
            <w:rPr>
              <w:rFonts w:hint="default"/>
              <w:lang w:val="en-US" w:eastAsia="zh-CN"/>
            </w:rPr>
            <w:t>2. 适用范围</w:t>
          </w:r>
          <w:r>
            <w:tab/>
          </w:r>
          <w:r>
            <w:fldChar w:fldCharType="begin"/>
          </w:r>
          <w:r>
            <w:instrText xml:space="preserve"> PAGEREF _Toc19933 \h </w:instrText>
          </w:r>
          <w:r>
            <w:fldChar w:fldCharType="separate"/>
          </w:r>
          <w:r>
            <w:t>4</w:t>
          </w:r>
          <w:r>
            <w:fldChar w:fldCharType="end"/>
          </w:r>
          <w:r>
            <w:rPr>
              <w:rFonts w:hint="eastAsia" w:ascii="宋体" w:hAnsi="宋体" w:eastAsia="宋体" w:cs="宋体"/>
              <w:szCs w:val="24"/>
            </w:rPr>
            <w:fldChar w:fldCharType="end"/>
          </w:r>
        </w:p>
        <w:p w14:paraId="1FC1503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_Toc8196 </w:instrText>
          </w:r>
          <w:r>
            <w:rPr>
              <w:rFonts w:hint="eastAsia" w:ascii="宋体" w:hAnsi="宋体" w:eastAsia="宋体" w:cs="宋体"/>
              <w:szCs w:val="24"/>
            </w:rPr>
            <w:fldChar w:fldCharType="separate"/>
          </w:r>
          <w:r>
            <w:rPr>
              <w:rFonts w:hint="default"/>
              <w:lang w:val="en-US" w:eastAsia="zh-CN"/>
            </w:rPr>
            <w:t>3. 职责</w:t>
          </w:r>
          <w:r>
            <w:tab/>
          </w:r>
          <w:r>
            <w:fldChar w:fldCharType="begin"/>
          </w:r>
          <w:r>
            <w:instrText xml:space="preserve"> PAGEREF _Toc8196 \h </w:instrText>
          </w:r>
          <w:r>
            <w:fldChar w:fldCharType="separate"/>
          </w:r>
          <w:r>
            <w:t>4</w:t>
          </w:r>
          <w:r>
            <w:fldChar w:fldCharType="end"/>
          </w:r>
          <w:r>
            <w:rPr>
              <w:rFonts w:hint="eastAsia" w:ascii="宋体" w:hAnsi="宋体" w:eastAsia="宋体" w:cs="宋体"/>
              <w:szCs w:val="24"/>
            </w:rPr>
            <w:fldChar w:fldCharType="end"/>
          </w:r>
        </w:p>
        <w:p w14:paraId="2E13876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_Toc27288 </w:instrText>
          </w:r>
          <w:r>
            <w:rPr>
              <w:rFonts w:hint="eastAsia" w:ascii="宋体" w:hAnsi="宋体" w:eastAsia="宋体" w:cs="宋体"/>
              <w:szCs w:val="24"/>
            </w:rPr>
            <w:fldChar w:fldCharType="separate"/>
          </w:r>
          <w:r>
            <w:rPr>
              <w:rFonts w:hint="default"/>
              <w:lang w:val="en-US" w:eastAsia="zh-CN"/>
            </w:rPr>
            <w:t>3.1. 质量管理部</w:t>
          </w:r>
          <w:r>
            <w:tab/>
          </w:r>
          <w:r>
            <w:fldChar w:fldCharType="begin"/>
          </w:r>
          <w:r>
            <w:instrText xml:space="preserve"> PAGEREF _Toc27288 \h </w:instrText>
          </w:r>
          <w:r>
            <w:fldChar w:fldCharType="separate"/>
          </w:r>
          <w:r>
            <w:t>4</w:t>
          </w:r>
          <w:r>
            <w:fldChar w:fldCharType="end"/>
          </w:r>
          <w:r>
            <w:rPr>
              <w:rFonts w:hint="eastAsia" w:ascii="宋体" w:hAnsi="宋体" w:eastAsia="宋体" w:cs="宋体"/>
              <w:szCs w:val="24"/>
            </w:rPr>
            <w:fldChar w:fldCharType="end"/>
          </w:r>
        </w:p>
        <w:p w14:paraId="4CA7A58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_Toc20534 </w:instrText>
          </w:r>
          <w:r>
            <w:rPr>
              <w:rFonts w:hint="eastAsia" w:ascii="宋体" w:hAnsi="宋体" w:eastAsia="宋体" w:cs="宋体"/>
              <w:szCs w:val="24"/>
            </w:rPr>
            <w:fldChar w:fldCharType="separate"/>
          </w:r>
          <w:r>
            <w:rPr>
              <w:rFonts w:hint="default"/>
              <w:lang w:val="en-US" w:eastAsia="zh-CN"/>
            </w:rPr>
            <w:t>3.2. 审核组长</w:t>
          </w:r>
          <w:r>
            <w:tab/>
          </w:r>
          <w:r>
            <w:fldChar w:fldCharType="begin"/>
          </w:r>
          <w:r>
            <w:instrText xml:space="preserve"> PAGEREF _Toc20534 \h </w:instrText>
          </w:r>
          <w:r>
            <w:fldChar w:fldCharType="separate"/>
          </w:r>
          <w:r>
            <w:t>4</w:t>
          </w:r>
          <w:r>
            <w:fldChar w:fldCharType="end"/>
          </w:r>
          <w:r>
            <w:rPr>
              <w:rFonts w:hint="eastAsia" w:ascii="宋体" w:hAnsi="宋体" w:eastAsia="宋体" w:cs="宋体"/>
              <w:szCs w:val="24"/>
            </w:rPr>
            <w:fldChar w:fldCharType="end"/>
          </w:r>
        </w:p>
        <w:p w14:paraId="5864D3B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_Toc30205 </w:instrText>
          </w:r>
          <w:r>
            <w:rPr>
              <w:rFonts w:hint="eastAsia" w:ascii="宋体" w:hAnsi="宋体" w:eastAsia="宋体" w:cs="宋体"/>
              <w:szCs w:val="24"/>
            </w:rPr>
            <w:fldChar w:fldCharType="separate"/>
          </w:r>
          <w:r>
            <w:rPr>
              <w:rFonts w:hint="default"/>
              <w:lang w:val="en-US" w:eastAsia="zh-CN"/>
            </w:rPr>
            <w:t>3.3. 内审员</w:t>
          </w:r>
          <w:r>
            <w:tab/>
          </w:r>
          <w:r>
            <w:fldChar w:fldCharType="begin"/>
          </w:r>
          <w:r>
            <w:instrText xml:space="preserve"> PAGEREF _Toc30205 \h </w:instrText>
          </w:r>
          <w:r>
            <w:fldChar w:fldCharType="separate"/>
          </w:r>
          <w:r>
            <w:t>4</w:t>
          </w:r>
          <w:r>
            <w:fldChar w:fldCharType="end"/>
          </w:r>
          <w:r>
            <w:rPr>
              <w:rFonts w:hint="eastAsia" w:ascii="宋体" w:hAnsi="宋体" w:eastAsia="宋体" w:cs="宋体"/>
              <w:szCs w:val="24"/>
            </w:rPr>
            <w:fldChar w:fldCharType="end"/>
          </w:r>
        </w:p>
        <w:p w14:paraId="45845CC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_Toc19633 </w:instrText>
          </w:r>
          <w:r>
            <w:rPr>
              <w:rFonts w:hint="eastAsia" w:ascii="宋体" w:hAnsi="宋体" w:eastAsia="宋体" w:cs="宋体"/>
              <w:szCs w:val="24"/>
            </w:rPr>
            <w:fldChar w:fldCharType="separate"/>
          </w:r>
          <w:r>
            <w:rPr>
              <w:rFonts w:hint="default"/>
              <w:lang w:val="en-US" w:eastAsia="zh-CN"/>
            </w:rPr>
            <w:t>3.4. 受审核部门</w:t>
          </w:r>
          <w:r>
            <w:tab/>
          </w:r>
          <w:r>
            <w:fldChar w:fldCharType="begin"/>
          </w:r>
          <w:r>
            <w:instrText xml:space="preserve"> PAGEREF _Toc19633 \h </w:instrText>
          </w:r>
          <w:r>
            <w:fldChar w:fldCharType="separate"/>
          </w:r>
          <w:r>
            <w:t>5</w:t>
          </w:r>
          <w:r>
            <w:fldChar w:fldCharType="end"/>
          </w:r>
          <w:r>
            <w:rPr>
              <w:rFonts w:hint="eastAsia" w:ascii="宋体" w:hAnsi="宋体" w:eastAsia="宋体" w:cs="宋体"/>
              <w:szCs w:val="24"/>
            </w:rPr>
            <w:fldChar w:fldCharType="end"/>
          </w:r>
        </w:p>
        <w:p w14:paraId="00F6262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_Toc19624 </w:instrText>
          </w:r>
          <w:r>
            <w:rPr>
              <w:rFonts w:hint="eastAsia" w:ascii="宋体" w:hAnsi="宋体" w:eastAsia="宋体" w:cs="宋体"/>
              <w:szCs w:val="24"/>
            </w:rPr>
            <w:fldChar w:fldCharType="separate"/>
          </w:r>
          <w:r>
            <w:rPr>
              <w:rFonts w:hint="default"/>
              <w:lang w:val="en-US" w:eastAsia="zh-CN"/>
            </w:rPr>
            <w:t>4. 工作程序</w:t>
          </w:r>
          <w:r>
            <w:tab/>
          </w:r>
          <w:r>
            <w:fldChar w:fldCharType="begin"/>
          </w:r>
          <w:r>
            <w:instrText xml:space="preserve"> PAGEREF _Toc19624 \h </w:instrText>
          </w:r>
          <w:r>
            <w:fldChar w:fldCharType="separate"/>
          </w:r>
          <w:r>
            <w:t>5</w:t>
          </w:r>
          <w:r>
            <w:fldChar w:fldCharType="end"/>
          </w:r>
          <w:r>
            <w:rPr>
              <w:rFonts w:hint="eastAsia" w:ascii="宋体" w:hAnsi="宋体" w:eastAsia="宋体" w:cs="宋体"/>
              <w:szCs w:val="24"/>
            </w:rPr>
            <w:fldChar w:fldCharType="end"/>
          </w:r>
        </w:p>
        <w:p w14:paraId="26FED25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_Toc27639 </w:instrText>
          </w:r>
          <w:r>
            <w:rPr>
              <w:rFonts w:hint="eastAsia" w:ascii="宋体" w:hAnsi="宋体" w:eastAsia="宋体" w:cs="宋体"/>
              <w:szCs w:val="24"/>
            </w:rPr>
            <w:fldChar w:fldCharType="separate"/>
          </w:r>
          <w:r>
            <w:rPr>
              <w:rFonts w:hint="default"/>
              <w:lang w:val="en-US" w:eastAsia="zh-CN"/>
            </w:rPr>
            <w:t>4.1. 审核频次与时机</w:t>
          </w:r>
          <w:r>
            <w:tab/>
          </w:r>
          <w:r>
            <w:fldChar w:fldCharType="begin"/>
          </w:r>
          <w:r>
            <w:instrText xml:space="preserve"> PAGEREF _Toc27639 \h </w:instrText>
          </w:r>
          <w:r>
            <w:fldChar w:fldCharType="separate"/>
          </w:r>
          <w:r>
            <w:t>5</w:t>
          </w:r>
          <w:r>
            <w:fldChar w:fldCharType="end"/>
          </w:r>
          <w:r>
            <w:rPr>
              <w:rFonts w:hint="eastAsia" w:ascii="宋体" w:hAnsi="宋体" w:eastAsia="宋体" w:cs="宋体"/>
              <w:szCs w:val="24"/>
            </w:rPr>
            <w:fldChar w:fldCharType="end"/>
          </w:r>
        </w:p>
        <w:p w14:paraId="612A7D7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_Toc28192 </w:instrText>
          </w:r>
          <w:r>
            <w:rPr>
              <w:rFonts w:hint="eastAsia" w:ascii="宋体" w:hAnsi="宋体" w:eastAsia="宋体" w:cs="宋体"/>
              <w:szCs w:val="24"/>
            </w:rPr>
            <w:fldChar w:fldCharType="separate"/>
          </w:r>
          <w:r>
            <w:rPr>
              <w:rFonts w:hint="default"/>
              <w:lang w:val="en-US" w:eastAsia="zh-CN"/>
            </w:rPr>
            <w:t>4.2. 审核策划</w:t>
          </w:r>
          <w:r>
            <w:tab/>
          </w:r>
          <w:r>
            <w:fldChar w:fldCharType="begin"/>
          </w:r>
          <w:r>
            <w:instrText xml:space="preserve"> PAGEREF _Toc28192 \h </w:instrText>
          </w:r>
          <w:r>
            <w:fldChar w:fldCharType="separate"/>
          </w:r>
          <w:r>
            <w:t>5</w:t>
          </w:r>
          <w:r>
            <w:fldChar w:fldCharType="end"/>
          </w:r>
          <w:r>
            <w:rPr>
              <w:rFonts w:hint="eastAsia" w:ascii="宋体" w:hAnsi="宋体" w:eastAsia="宋体" w:cs="宋体"/>
              <w:szCs w:val="24"/>
            </w:rPr>
            <w:fldChar w:fldCharType="end"/>
          </w:r>
        </w:p>
        <w:p w14:paraId="64062BA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_Toc20054 </w:instrText>
          </w:r>
          <w:r>
            <w:rPr>
              <w:rFonts w:hint="eastAsia" w:ascii="宋体" w:hAnsi="宋体" w:eastAsia="宋体" w:cs="宋体"/>
              <w:szCs w:val="24"/>
            </w:rPr>
            <w:fldChar w:fldCharType="separate"/>
          </w:r>
          <w:r>
            <w:rPr>
              <w:rFonts w:hint="default"/>
              <w:lang w:val="en-US" w:eastAsia="zh-CN"/>
            </w:rPr>
            <w:t>4.3. 审核准备</w:t>
          </w:r>
          <w:r>
            <w:tab/>
          </w:r>
          <w:r>
            <w:fldChar w:fldCharType="begin"/>
          </w:r>
          <w:r>
            <w:instrText xml:space="preserve"> PAGEREF _Toc20054 \h </w:instrText>
          </w:r>
          <w:r>
            <w:fldChar w:fldCharType="separate"/>
          </w:r>
          <w:r>
            <w:t>5</w:t>
          </w:r>
          <w:r>
            <w:fldChar w:fldCharType="end"/>
          </w:r>
          <w:r>
            <w:rPr>
              <w:rFonts w:hint="eastAsia" w:ascii="宋体" w:hAnsi="宋体" w:eastAsia="宋体" w:cs="宋体"/>
              <w:szCs w:val="24"/>
            </w:rPr>
            <w:fldChar w:fldCharType="end"/>
          </w:r>
        </w:p>
        <w:p w14:paraId="0BB16D6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_Toc9425 </w:instrText>
          </w:r>
          <w:r>
            <w:rPr>
              <w:rFonts w:hint="eastAsia" w:ascii="宋体" w:hAnsi="宋体" w:eastAsia="宋体" w:cs="宋体"/>
              <w:szCs w:val="24"/>
            </w:rPr>
            <w:fldChar w:fldCharType="separate"/>
          </w:r>
          <w:r>
            <w:rPr>
              <w:rFonts w:hint="default"/>
              <w:lang w:val="en-US" w:eastAsia="zh-CN"/>
            </w:rPr>
            <w:t>4.4. 审核实施</w:t>
          </w:r>
          <w:r>
            <w:tab/>
          </w:r>
          <w:r>
            <w:fldChar w:fldCharType="begin"/>
          </w:r>
          <w:r>
            <w:instrText xml:space="preserve"> PAGEREF _Toc9425 \h </w:instrText>
          </w:r>
          <w:r>
            <w:fldChar w:fldCharType="separate"/>
          </w:r>
          <w:r>
            <w:t>6</w:t>
          </w:r>
          <w:r>
            <w:fldChar w:fldCharType="end"/>
          </w:r>
          <w:r>
            <w:rPr>
              <w:rFonts w:hint="eastAsia" w:ascii="宋体" w:hAnsi="宋体" w:eastAsia="宋体" w:cs="宋体"/>
              <w:szCs w:val="24"/>
            </w:rPr>
            <w:fldChar w:fldCharType="end"/>
          </w:r>
        </w:p>
        <w:p w14:paraId="7ACFF1E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_Toc31354 </w:instrText>
          </w:r>
          <w:r>
            <w:rPr>
              <w:rFonts w:hint="eastAsia" w:ascii="宋体" w:hAnsi="宋体" w:eastAsia="宋体" w:cs="宋体"/>
              <w:szCs w:val="24"/>
            </w:rPr>
            <w:fldChar w:fldCharType="separate"/>
          </w:r>
          <w:r>
            <w:rPr>
              <w:rFonts w:hint="default"/>
              <w:lang w:val="en-US" w:eastAsia="zh-CN"/>
            </w:rPr>
            <w:t>4.5. 审核报告与总结</w:t>
          </w:r>
          <w:r>
            <w:tab/>
          </w:r>
          <w:r>
            <w:fldChar w:fldCharType="begin"/>
          </w:r>
          <w:r>
            <w:instrText xml:space="preserve"> PAGEREF _Toc31354 \h </w:instrText>
          </w:r>
          <w:r>
            <w:fldChar w:fldCharType="separate"/>
          </w:r>
          <w:r>
            <w:t>6</w:t>
          </w:r>
          <w:r>
            <w:fldChar w:fldCharType="end"/>
          </w:r>
          <w:r>
            <w:rPr>
              <w:rFonts w:hint="eastAsia" w:ascii="宋体" w:hAnsi="宋体" w:eastAsia="宋体" w:cs="宋体"/>
              <w:szCs w:val="24"/>
            </w:rPr>
            <w:fldChar w:fldCharType="end"/>
          </w:r>
        </w:p>
        <w:p w14:paraId="76A3E4A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_Toc29410 </w:instrText>
          </w:r>
          <w:r>
            <w:rPr>
              <w:rFonts w:hint="eastAsia" w:ascii="宋体" w:hAnsi="宋体" w:eastAsia="宋体" w:cs="宋体"/>
              <w:szCs w:val="24"/>
            </w:rPr>
            <w:fldChar w:fldCharType="separate"/>
          </w:r>
          <w:r>
            <w:rPr>
              <w:rFonts w:hint="default"/>
              <w:lang w:val="en-US" w:eastAsia="zh-CN"/>
            </w:rPr>
            <w:t>4.6. 纠正措施与跟踪验证</w:t>
          </w:r>
          <w:r>
            <w:tab/>
          </w:r>
          <w:r>
            <w:fldChar w:fldCharType="begin"/>
          </w:r>
          <w:r>
            <w:instrText xml:space="preserve"> PAGEREF _Toc29410 \h </w:instrText>
          </w:r>
          <w:r>
            <w:fldChar w:fldCharType="separate"/>
          </w:r>
          <w:r>
            <w:t>6</w:t>
          </w:r>
          <w:r>
            <w:fldChar w:fldCharType="end"/>
          </w:r>
          <w:r>
            <w:rPr>
              <w:rFonts w:hint="eastAsia" w:ascii="宋体" w:hAnsi="宋体" w:eastAsia="宋体" w:cs="宋体"/>
              <w:szCs w:val="24"/>
            </w:rPr>
            <w:fldChar w:fldCharType="end"/>
          </w:r>
        </w:p>
        <w:p w14:paraId="3AD6EE7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_Toc20335 </w:instrText>
          </w:r>
          <w:r>
            <w:rPr>
              <w:rFonts w:hint="eastAsia" w:ascii="宋体" w:hAnsi="宋体" w:eastAsia="宋体" w:cs="宋体"/>
              <w:szCs w:val="24"/>
            </w:rPr>
            <w:fldChar w:fldCharType="separate"/>
          </w:r>
          <w:r>
            <w:rPr>
              <w:rFonts w:hint="default"/>
              <w:lang w:val="en-US" w:eastAsia="zh-CN"/>
            </w:rPr>
            <w:t>4.7. 记录与档案</w:t>
          </w:r>
          <w:r>
            <w:tab/>
          </w:r>
          <w:r>
            <w:fldChar w:fldCharType="begin"/>
          </w:r>
          <w:r>
            <w:instrText xml:space="preserve"> PAGEREF _Toc20335 \h </w:instrText>
          </w:r>
          <w:r>
            <w:fldChar w:fldCharType="separate"/>
          </w:r>
          <w:r>
            <w:t>7</w:t>
          </w:r>
          <w:r>
            <w:fldChar w:fldCharType="end"/>
          </w:r>
          <w:r>
            <w:rPr>
              <w:rFonts w:hint="eastAsia" w:ascii="宋体" w:hAnsi="宋体" w:eastAsia="宋体" w:cs="宋体"/>
              <w:szCs w:val="24"/>
            </w:rPr>
            <w:fldChar w:fldCharType="end"/>
          </w:r>
        </w:p>
        <w:p w14:paraId="0C30C4E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_Toc4780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考核指标</w:t>
          </w:r>
          <w:r>
            <w:tab/>
          </w:r>
          <w:r>
            <w:fldChar w:fldCharType="begin"/>
          </w:r>
          <w:r>
            <w:instrText xml:space="preserve"> PAGEREF _Toc4780 \h </w:instrText>
          </w:r>
          <w:r>
            <w:fldChar w:fldCharType="separate"/>
          </w:r>
          <w:r>
            <w:t>7</w:t>
          </w:r>
          <w:r>
            <w:fldChar w:fldCharType="end"/>
          </w:r>
          <w:r>
            <w:rPr>
              <w:rFonts w:hint="eastAsia" w:ascii="宋体" w:hAnsi="宋体" w:eastAsia="宋体" w:cs="宋体"/>
              <w:szCs w:val="24"/>
            </w:rPr>
            <w:fldChar w:fldCharType="end"/>
          </w:r>
        </w:p>
        <w:p w14:paraId="227D569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_Toc32704 </w:instrText>
          </w:r>
          <w:r>
            <w:rPr>
              <w:rFonts w:hint="eastAsia" w:ascii="宋体" w:hAnsi="宋体" w:eastAsia="宋体" w:cs="宋体"/>
              <w:szCs w:val="24"/>
            </w:rPr>
            <w:fldChar w:fldCharType="separate"/>
          </w:r>
          <w:r>
            <w:rPr>
              <w:rFonts w:hint="default"/>
              <w:lang w:val="en-US" w:eastAsia="zh-CN"/>
            </w:rPr>
            <w:t>6. 附则</w:t>
          </w:r>
          <w:r>
            <w:tab/>
          </w:r>
          <w:r>
            <w:fldChar w:fldCharType="begin"/>
          </w:r>
          <w:r>
            <w:instrText xml:space="preserve"> PAGEREF _Toc32704 \h </w:instrText>
          </w:r>
          <w:r>
            <w:fldChar w:fldCharType="separate"/>
          </w:r>
          <w:r>
            <w:t>7</w:t>
          </w:r>
          <w:r>
            <w:fldChar w:fldCharType="end"/>
          </w:r>
          <w:r>
            <w:rPr>
              <w:rFonts w:hint="eastAsia" w:ascii="宋体" w:hAnsi="宋体" w:eastAsia="宋体" w:cs="宋体"/>
              <w:szCs w:val="24"/>
            </w:rPr>
            <w:fldChar w:fldCharType="end"/>
          </w:r>
        </w:p>
        <w:p w14:paraId="6331D110">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DE87196">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79E4E70">
      <w:pPr>
        <w:pStyle w:val="28"/>
        <w:bidi w:val="0"/>
        <w:rPr>
          <w:rFonts w:hint="default"/>
          <w:lang w:val="en-US" w:eastAsia="zh-CN"/>
        </w:rPr>
      </w:pPr>
      <w:bookmarkStart w:id="2" w:name="_Toc30694"/>
      <w:r>
        <w:rPr>
          <w:rFonts w:hint="default"/>
          <w:lang w:val="en-US" w:eastAsia="zh-CN"/>
        </w:rPr>
        <w:t>目的</w:t>
      </w:r>
      <w:bookmarkEnd w:id="2"/>
    </w:p>
    <w:p w14:paraId="11C8557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为验证并确保公司运维服务质量管理体系（以下简称“体系”）持续满足国家标准、行业要求及公司内部规定，并得到有效实施与保持，通过系统、独立、客观的审核活动，发现问题、推动改进，特制定本制度。</w:t>
      </w:r>
    </w:p>
    <w:p w14:paraId="7751F2CD">
      <w:pPr>
        <w:pStyle w:val="28"/>
        <w:bidi w:val="0"/>
        <w:rPr>
          <w:rFonts w:hint="default"/>
          <w:lang w:val="en-US" w:eastAsia="zh-CN"/>
        </w:rPr>
      </w:pPr>
      <w:bookmarkStart w:id="3" w:name="_Toc19933"/>
      <w:r>
        <w:rPr>
          <w:rFonts w:hint="default"/>
          <w:lang w:val="en-US" w:eastAsia="zh-CN"/>
        </w:rPr>
        <w:t>适用范围</w:t>
      </w:r>
      <w:bookmarkEnd w:id="3"/>
    </w:p>
    <w:p w14:paraId="324814D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本制度适用于公司范围内所有与软件运维服务相关的质量管理体系内部审核活动。</w:t>
      </w:r>
    </w:p>
    <w:p w14:paraId="77885DE8">
      <w:pPr>
        <w:pStyle w:val="28"/>
        <w:bidi w:val="0"/>
        <w:rPr>
          <w:rFonts w:hint="default"/>
          <w:lang w:val="en-US" w:eastAsia="zh-CN"/>
        </w:rPr>
      </w:pPr>
      <w:bookmarkStart w:id="4" w:name="_Toc8196"/>
      <w:r>
        <w:rPr>
          <w:rFonts w:hint="default"/>
          <w:lang w:val="en-US" w:eastAsia="zh-CN"/>
        </w:rPr>
        <w:t>职责</w:t>
      </w:r>
      <w:bookmarkEnd w:id="4"/>
    </w:p>
    <w:p w14:paraId="14BBFEAD">
      <w:pPr>
        <w:pStyle w:val="30"/>
        <w:bidi w:val="0"/>
        <w:rPr>
          <w:rFonts w:hint="default"/>
          <w:lang w:val="en-US" w:eastAsia="zh-CN"/>
        </w:rPr>
      </w:pPr>
      <w:bookmarkStart w:id="5" w:name="_Toc27288"/>
      <w:r>
        <w:rPr>
          <w:rFonts w:hint="default"/>
          <w:lang w:val="en-US" w:eastAsia="zh-CN"/>
        </w:rPr>
        <w:t>质量管理部</w:t>
      </w:r>
      <w:bookmarkEnd w:id="5"/>
    </w:p>
    <w:p w14:paraId="6B9F474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作为内部审核的归口管理部门，负责组织策划年度内审活动。</w:t>
      </w:r>
    </w:p>
    <w:p w14:paraId="2413AE6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负责组建内审组，提名并任命审核组长。</w:t>
      </w:r>
    </w:p>
    <w:p w14:paraId="192195B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负责组织编制、发布《年度内部审核计划》。</w:t>
      </w:r>
    </w:p>
    <w:p w14:paraId="27C7AD2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负责保管所有内审活动产生的记录和档案。</w:t>
      </w:r>
    </w:p>
    <w:p w14:paraId="5C2FD38C">
      <w:pPr>
        <w:pStyle w:val="30"/>
        <w:bidi w:val="0"/>
        <w:rPr>
          <w:rFonts w:hint="default"/>
          <w:lang w:val="en-US" w:eastAsia="zh-CN"/>
        </w:rPr>
      </w:pPr>
      <w:bookmarkStart w:id="6" w:name="_Toc20534"/>
      <w:r>
        <w:rPr>
          <w:rFonts w:hint="default"/>
          <w:lang w:val="en-US" w:eastAsia="zh-CN"/>
        </w:rPr>
        <w:t>审核组长</w:t>
      </w:r>
      <w:bookmarkEnd w:id="6"/>
    </w:p>
    <w:p w14:paraId="76E3128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通常由质量管理部经理或其指定人员担任。</w:t>
      </w:r>
    </w:p>
    <w:p w14:paraId="01446D6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负责编制具体的《内部审核实施计划》和《内部审核检查表》。</w:t>
      </w:r>
    </w:p>
    <w:p w14:paraId="7A7BF5F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负责组织并主持内审的全过程，包括首次会议、现场审核、末次会议。</w:t>
      </w:r>
    </w:p>
    <w:p w14:paraId="1F9BDFD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负责编写《内部审核报告》，并对审核结论的准确性负责。</w:t>
      </w:r>
    </w:p>
    <w:p w14:paraId="6ECDC56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负责组织对不符合项纠正措施落实情况的跟踪验证。</w:t>
      </w:r>
    </w:p>
    <w:p w14:paraId="4D6D6C2D">
      <w:pPr>
        <w:pStyle w:val="30"/>
        <w:bidi w:val="0"/>
        <w:rPr>
          <w:rFonts w:hint="default"/>
          <w:lang w:val="en-US" w:eastAsia="zh-CN"/>
        </w:rPr>
      </w:pPr>
      <w:bookmarkStart w:id="7" w:name="_Toc30205"/>
      <w:r>
        <w:rPr>
          <w:rFonts w:hint="default"/>
          <w:lang w:val="en-US" w:eastAsia="zh-CN"/>
        </w:rPr>
        <w:t>内审员</w:t>
      </w:r>
      <w:bookmarkEnd w:id="7"/>
    </w:p>
    <w:p w14:paraId="3870FDB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由经培训合格并取得资格的公司员工担任。</w:t>
      </w:r>
    </w:p>
    <w:p w14:paraId="642F07D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在审核组长领导下，按计划完成分配的审核任务。</w:t>
      </w:r>
    </w:p>
    <w:p w14:paraId="30D1335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客观、公正地收集审核证据，记录审核发现。</w:t>
      </w:r>
    </w:p>
    <w:p w14:paraId="44C7E6A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协助编写不符合项报告，参与纠正措施的验证。</w:t>
      </w:r>
    </w:p>
    <w:p w14:paraId="6E011B73">
      <w:pPr>
        <w:pStyle w:val="30"/>
        <w:bidi w:val="0"/>
        <w:rPr>
          <w:rFonts w:hint="default"/>
          <w:lang w:val="en-US" w:eastAsia="zh-CN"/>
        </w:rPr>
      </w:pPr>
      <w:bookmarkStart w:id="8" w:name="_Toc19633"/>
      <w:r>
        <w:rPr>
          <w:rFonts w:hint="default"/>
          <w:lang w:val="en-US" w:eastAsia="zh-CN"/>
        </w:rPr>
        <w:t>受审核部门</w:t>
      </w:r>
      <w:bookmarkEnd w:id="8"/>
    </w:p>
    <w:p w14:paraId="1D9E642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指定联络人，积极配合内审工作。</w:t>
      </w:r>
    </w:p>
    <w:p w14:paraId="736FA91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提供审核所需资源，确保审核顺利进行。</w:t>
      </w:r>
    </w:p>
    <w:p w14:paraId="017D895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确认审核发现的事实，针对不符合项分析原因并制定、实施纠正措施。</w:t>
      </w:r>
    </w:p>
    <w:p w14:paraId="5D373E2B">
      <w:pPr>
        <w:pStyle w:val="28"/>
        <w:bidi w:val="0"/>
        <w:rPr>
          <w:rFonts w:hint="default"/>
          <w:lang w:val="en-US" w:eastAsia="zh-CN"/>
        </w:rPr>
      </w:pPr>
      <w:bookmarkStart w:id="9" w:name="_Toc19624"/>
      <w:r>
        <w:rPr>
          <w:rFonts w:hint="default"/>
          <w:lang w:val="en-US" w:eastAsia="zh-CN"/>
        </w:rPr>
        <w:t>工作程序</w:t>
      </w:r>
      <w:bookmarkEnd w:id="9"/>
    </w:p>
    <w:p w14:paraId="1254C0CA">
      <w:pPr>
        <w:pStyle w:val="30"/>
        <w:bidi w:val="0"/>
        <w:rPr>
          <w:rFonts w:hint="default"/>
          <w:lang w:val="en-US" w:eastAsia="zh-CN"/>
        </w:rPr>
      </w:pPr>
      <w:bookmarkStart w:id="10" w:name="_Toc27639"/>
      <w:r>
        <w:rPr>
          <w:rFonts w:hint="default"/>
          <w:lang w:val="en-US" w:eastAsia="zh-CN"/>
        </w:rPr>
        <w:t>审核频次与时机</w:t>
      </w:r>
      <w:bookmarkEnd w:id="10"/>
    </w:p>
    <w:p w14:paraId="16B62B1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例行审核：公司每年至少组织一次覆盖全部相关部门和要素的完整内部审核，两次完整审核的时间间隔不超过12个月。</w:t>
      </w:r>
    </w:p>
    <w:p w14:paraId="45A4787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追加审核：当出现以下情况时，由质量管理部提议，报公司领导批准后，可追加安排专项或局部审核：</w:t>
      </w:r>
    </w:p>
    <w:p w14:paraId="4909C2C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发生重大服务质量问题或客户严重投诉。</w:t>
      </w:r>
    </w:p>
    <w:p w14:paraId="4FECD13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组织机构、服务范围、技术环境发生重大变化。</w:t>
      </w:r>
    </w:p>
    <w:p w14:paraId="63D794C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为应对外部认证或客户审核前。</w:t>
      </w:r>
    </w:p>
    <w:p w14:paraId="3EB3E09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管理层认为有必要时。</w:t>
      </w:r>
    </w:p>
    <w:p w14:paraId="02CCCB24">
      <w:pPr>
        <w:pStyle w:val="30"/>
        <w:bidi w:val="0"/>
        <w:rPr>
          <w:rFonts w:hint="default"/>
          <w:lang w:val="en-US" w:eastAsia="zh-CN"/>
        </w:rPr>
      </w:pPr>
      <w:bookmarkStart w:id="11" w:name="_Toc28192"/>
      <w:r>
        <w:rPr>
          <w:rFonts w:hint="default"/>
          <w:lang w:val="en-US" w:eastAsia="zh-CN"/>
        </w:rPr>
        <w:t>审核策划</w:t>
      </w:r>
      <w:bookmarkEnd w:id="11"/>
    </w:p>
    <w:p w14:paraId="4AB3B95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每年年初，质量管理部基于风险思维、过程绩效及以往审核结果，策划并编制《年度内部审核计划》，明确审核目的、范围、依据、频次及大致时间安排，报公司领导批准。</w:t>
      </w:r>
    </w:p>
    <w:p w14:paraId="5824274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每次具体审核前，审核组长需进行详细策划，编制《内部审核实施计划》，内容包括：审核目的、范围、依据、审核组成员及分工、受审核部门、审核日程、会议安排等。计划需提前通知受审核部门。</w:t>
      </w:r>
    </w:p>
    <w:p w14:paraId="6B36069C">
      <w:pPr>
        <w:pStyle w:val="30"/>
        <w:bidi w:val="0"/>
        <w:rPr>
          <w:rFonts w:hint="default"/>
          <w:lang w:val="en-US" w:eastAsia="zh-CN"/>
        </w:rPr>
      </w:pPr>
      <w:bookmarkStart w:id="12" w:name="_Toc20054"/>
      <w:r>
        <w:rPr>
          <w:rFonts w:hint="default"/>
          <w:lang w:val="en-US" w:eastAsia="zh-CN"/>
        </w:rPr>
        <w:t>审核准备</w:t>
      </w:r>
      <w:bookmarkEnd w:id="12"/>
    </w:p>
    <w:p w14:paraId="60D4DDB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组建审核组：审核组成员应具备相应资格，且确保审核员不审核自己所在的部门，以保证审核的独立性、客观性。</w:t>
      </w:r>
    </w:p>
    <w:p w14:paraId="0866F7A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编制检查表：审核组成员根据分工，依据审核准则和受审核部门的过程/文件，编制《内部审核检查表》，作为现场审核的提纲和记录工具。</w:t>
      </w:r>
    </w:p>
    <w:p w14:paraId="24431C3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文件评审：审核组提前审阅受审核部门相关的体系文件，了解其要求。</w:t>
      </w:r>
    </w:p>
    <w:p w14:paraId="57596079">
      <w:pPr>
        <w:pStyle w:val="30"/>
        <w:bidi w:val="0"/>
        <w:rPr>
          <w:rFonts w:hint="default"/>
          <w:lang w:val="en-US" w:eastAsia="zh-CN"/>
        </w:rPr>
      </w:pPr>
      <w:bookmarkStart w:id="13" w:name="_Toc9425"/>
      <w:r>
        <w:rPr>
          <w:rFonts w:hint="default"/>
          <w:lang w:val="en-US" w:eastAsia="zh-CN"/>
        </w:rPr>
        <w:t>审核实施</w:t>
      </w:r>
      <w:bookmarkEnd w:id="13"/>
    </w:p>
    <w:p w14:paraId="566FDFE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首次会议：</w:t>
      </w:r>
    </w:p>
    <w:p w14:paraId="31CF547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由审核组长主持召开，公司领导、受审核部门负责人及审核组成员参加。会议明确审核计划、安排，确认沟通渠道。</w:t>
      </w:r>
    </w:p>
    <w:p w14:paraId="1283C74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现场审核：</w:t>
      </w:r>
    </w:p>
    <w:p w14:paraId="5F559ABF">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审核员通过访谈、观察、查阅文件和记录等方式，依据检查表收集客观证据。</w:t>
      </w:r>
    </w:p>
    <w:p w14:paraId="5E3DAB20">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审核发现应予以记录，并与受审核方现场确认。</w:t>
      </w:r>
    </w:p>
    <w:p w14:paraId="38C0707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审核中发现的问题，按其严重程度分为：</w:t>
      </w:r>
    </w:p>
    <w:p w14:paraId="260229D9">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严重不符合项：系统性或区域性失效；可能导致严重后果；重复发生且未有效纠正。</w:t>
      </w:r>
    </w:p>
    <w:p w14:paraId="75F546EE">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一般不符合项：孤立的、偶然的人为错误；对体系运行无重大影响。</w:t>
      </w:r>
    </w:p>
    <w:p w14:paraId="1A755206">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观察项：潜在的问题或可改进的领域，尚未构成不符合，但需引起注意。</w:t>
      </w:r>
    </w:p>
    <w:p w14:paraId="5DDCFAB3">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不符合项报告：对于确认的不符合项，审核员应填写《不符合项报告》，清晰描述事实，判定不符合的条款及类型，并由受审核部门负责人确认。</w:t>
      </w:r>
    </w:p>
    <w:p w14:paraId="2B105B64">
      <w:pPr>
        <w:pStyle w:val="30"/>
        <w:bidi w:val="0"/>
        <w:rPr>
          <w:rFonts w:hint="default"/>
          <w:lang w:val="en-US" w:eastAsia="zh-CN"/>
        </w:rPr>
      </w:pPr>
      <w:bookmarkStart w:id="14" w:name="_Toc31354"/>
      <w:r>
        <w:rPr>
          <w:rFonts w:hint="default"/>
          <w:lang w:val="en-US" w:eastAsia="zh-CN"/>
        </w:rPr>
        <w:t>审核报告与总结</w:t>
      </w:r>
      <w:bookmarkEnd w:id="14"/>
    </w:p>
    <w:p w14:paraId="38C57DC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末次会议：现场审核结束后，审核组长主持召开末次会议，报告审核发现和结论，宣读不符合项报告。</w:t>
      </w:r>
    </w:p>
    <w:p w14:paraId="1702F6A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审核报告：审核结束后，审核组长编制《内部审核报告》，全面总结审核情况、不符合项分布、体系运行有效性评价及结论。报告经批准后分发至相关部门及公司领导。</w:t>
      </w:r>
    </w:p>
    <w:p w14:paraId="188FCF53">
      <w:pPr>
        <w:pStyle w:val="30"/>
        <w:bidi w:val="0"/>
        <w:rPr>
          <w:rFonts w:hint="default"/>
          <w:lang w:val="en-US" w:eastAsia="zh-CN"/>
        </w:rPr>
      </w:pPr>
      <w:bookmarkStart w:id="15" w:name="_Toc29410"/>
      <w:r>
        <w:rPr>
          <w:rFonts w:hint="default"/>
          <w:lang w:val="en-US" w:eastAsia="zh-CN"/>
        </w:rPr>
        <w:t>纠正措施与跟踪验证</w:t>
      </w:r>
      <w:bookmarkEnd w:id="15"/>
    </w:p>
    <w:p w14:paraId="3267173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受审核部门在收到《不符合项报告》后，应分析根本原因，制定具体的纠正与预防措施及完成期限，并组织实施。</w:t>
      </w:r>
    </w:p>
    <w:p w14:paraId="7E550CA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审核组长或其指定的审核员（通常为质量管理专员）负责对纠正措施的实施情况进行跟踪验证，确保措施有效并已关闭。</w:t>
      </w:r>
    </w:p>
    <w:p w14:paraId="6FCF31A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验证结果应记录。对于未能有效关闭的不符合项，应升级处理。</w:t>
      </w:r>
    </w:p>
    <w:p w14:paraId="70F64513">
      <w:pPr>
        <w:pStyle w:val="30"/>
        <w:bidi w:val="0"/>
        <w:rPr>
          <w:rFonts w:hint="default"/>
          <w:lang w:val="en-US" w:eastAsia="zh-CN"/>
        </w:rPr>
      </w:pPr>
      <w:bookmarkStart w:id="16" w:name="_Toc20335"/>
      <w:r>
        <w:rPr>
          <w:rFonts w:hint="default"/>
          <w:lang w:val="en-US" w:eastAsia="zh-CN"/>
        </w:rPr>
        <w:t>记录与档案</w:t>
      </w:r>
      <w:bookmarkEnd w:id="16"/>
    </w:p>
    <w:p w14:paraId="58226F8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质量管理部负责保存内审全过程的记录，形成完整档案，至少包括：</w:t>
      </w:r>
    </w:p>
    <w:p w14:paraId="4268E4B0">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《年度内部审核计划》</w:t>
      </w:r>
    </w:p>
    <w:p w14:paraId="7E40F8AD">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《内部审核实施计划》</w:t>
      </w:r>
    </w:p>
    <w:p w14:paraId="1688DA4D">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《内部审核检查表》</w:t>
      </w:r>
    </w:p>
    <w:p w14:paraId="037C3618">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《不符合项报告》</w:t>
      </w:r>
    </w:p>
    <w:p w14:paraId="236B4AE4">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《内部审核报告》</w:t>
      </w:r>
    </w:p>
    <w:p w14:paraId="472B699D">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《纠正措施跟踪验证记录》</w:t>
      </w:r>
    </w:p>
    <w:p w14:paraId="7192C37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4780"/>
      <w:r>
        <w:rPr>
          <w:rFonts w:hint="eastAsia"/>
          <w:lang w:val="en-US" w:eastAsia="zh-CN"/>
        </w:rPr>
        <w:t>考核指标</w:t>
      </w:r>
      <w:bookmarkEnd w:id="17"/>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63"/>
        <w:gridCol w:w="1152"/>
        <w:gridCol w:w="3552"/>
        <w:gridCol w:w="1308"/>
      </w:tblGrid>
      <w:tr w14:paraId="745C5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02E951AA">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1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6C007A7">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35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4D5FE48">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1308"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07A849CB">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7EA34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062123">
            <w:pPr>
              <w:keepNext w:val="0"/>
              <w:keepLines w:val="0"/>
              <w:widowControl/>
              <w:suppressLineNumbers w:val="0"/>
              <w:ind w:left="0" w:leftChars="0" w:right="0" w:rightChars="0" w:firstLine="0" w:firstLineChars="0"/>
              <w:jc w:val="center"/>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内审次数</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ADA65">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≥1次</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1995D0">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数量，内审</w:t>
            </w:r>
            <w:bookmarkStart w:id="19" w:name="_GoBack"/>
            <w:bookmarkEnd w:id="19"/>
            <w:r>
              <w:rPr>
                <w:rFonts w:hint="eastAsia" w:ascii="宋体" w:hAnsi="宋体" w:eastAsia="宋体" w:cs="宋体"/>
                <w:i w:val="0"/>
                <w:iCs w:val="0"/>
                <w:snapToGrid w:val="0"/>
                <w:color w:val="000000"/>
                <w:kern w:val="0"/>
                <w:sz w:val="21"/>
                <w:szCs w:val="21"/>
                <w:u w:val="none"/>
                <w:lang w:val="en-US" w:eastAsia="zh-CN"/>
              </w:rPr>
              <w:t>报告数量</w:t>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FEA353">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年度</w:t>
            </w:r>
          </w:p>
        </w:tc>
      </w:tr>
    </w:tbl>
    <w:p w14:paraId="13B9FB36">
      <w:pPr>
        <w:pStyle w:val="28"/>
        <w:bidi w:val="0"/>
        <w:rPr>
          <w:rFonts w:hint="default"/>
          <w:lang w:val="en-US" w:eastAsia="zh-CN"/>
        </w:rPr>
      </w:pPr>
      <w:bookmarkStart w:id="18" w:name="_Toc32704"/>
      <w:r>
        <w:rPr>
          <w:rFonts w:hint="default"/>
          <w:lang w:val="en-US" w:eastAsia="zh-CN"/>
        </w:rPr>
        <w:t>附则</w:t>
      </w:r>
      <w:bookmarkEnd w:id="18"/>
    </w:p>
    <w:p w14:paraId="3DE2565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本制度由质量管理部负责解释与修订。</w:t>
      </w:r>
    </w:p>
    <w:p w14:paraId="5DAD53C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本制度自发布之日起正式实施。</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6D82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43DCA62"/>
    <w:multiLevelType w:val="singleLevel"/>
    <w:tmpl w:val="C43DCA62"/>
    <w:lvl w:ilvl="0" w:tentative="0">
      <w:start w:val="1"/>
      <w:numFmt w:val="decimal"/>
      <w:lvlText w:val="%1."/>
      <w:lvlJc w:val="left"/>
      <w:pPr>
        <w:ind w:left="425" w:hanging="425"/>
      </w:pPr>
      <w:rPr>
        <w:rFonts w:hint="default"/>
      </w:rPr>
    </w:lvl>
  </w:abstractNum>
  <w:abstractNum w:abstractNumId="2">
    <w:nsid w:val="241F447C"/>
    <w:multiLevelType w:val="singleLevel"/>
    <w:tmpl w:val="241F447C"/>
    <w:lvl w:ilvl="0" w:tentative="0">
      <w:start w:val="1"/>
      <w:numFmt w:val="decimal"/>
      <w:lvlText w:val="%1."/>
      <w:lvlJc w:val="left"/>
      <w:pPr>
        <w:ind w:left="425" w:hanging="425"/>
      </w:pPr>
      <w:rPr>
        <w:rFonts w:hint="default"/>
      </w:rPr>
    </w:lvl>
  </w:abstractNum>
  <w:abstractNum w:abstractNumId="3">
    <w:nsid w:val="653842F0"/>
    <w:multiLevelType w:val="singleLevel"/>
    <w:tmpl w:val="653842F0"/>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C5942B4"/>
    <w:rsid w:val="3E223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1954</Words>
  <Characters>2051</Characters>
  <Lines>0</Lines>
  <Paragraphs>0</Paragraphs>
  <TotalTime>0</TotalTime>
  <ScaleCrop>false</ScaleCrop>
  <LinksUpToDate>false</LinksUpToDate>
  <CharactersWithSpaces>2125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2026-02-04T15:38:37Z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