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51E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4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05A432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693"/>
      <w:r>
        <w:rPr>
          <w:rFonts w:hint="eastAsia"/>
          <w:lang w:val="en-US" w:eastAsia="zh-CN"/>
        </w:rPr>
        <w:t>运维服务验收管理制度</w:t>
      </w:r>
      <w:bookmarkEnd w:id="1"/>
    </w:p>
    <w:p w14:paraId="3E75BE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D099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76A9DD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FADE2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829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7361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7E540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3B2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0B36C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DE82D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2D5ED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33B3B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6DF5E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D704C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CE5D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36F3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08AC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BF5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FB35F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E698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A6619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AE23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DDDB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39BB6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1B5F3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F3A4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3F8B1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FBB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F7604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86F3B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2ACF1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153C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6A6D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05A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3D5BE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E33BB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3B87E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FF064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E4D9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046E9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2F5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6EE64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C1B65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3108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55FB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CA0F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B81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26217F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5032E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1BABC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F3D6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_Toc10693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0D8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_Toc8279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F208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B8D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85BC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B9FB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99D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A579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2F3A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_Toc16756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3154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验收小组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4B28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验收类型与触发条件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DE80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验收管理流程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0E0E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验收准备与申请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1D3C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验收策划与组织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902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验收评审会议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8765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验收结论与报告</w:t>
          </w:r>
          <w:r>
            <w:tab/>
          </w:r>
          <w:r>
            <w:fldChar w:fldCharType="begin"/>
          </w:r>
          <w:r>
            <w:instrText xml:space="preserve"> PAGEREF _Toc21994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31E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问题整改与关闭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DD49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文档归档</w:t>
          </w:r>
          <w:r>
            <w:tab/>
          </w:r>
          <w:r>
            <w:fldChar w:fldCharType="begin"/>
          </w:r>
          <w:r>
            <w:instrText xml:space="preserve"> PAGEREF _Toc27454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4D3E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验收标准与交付物</w:t>
          </w:r>
          <w:r>
            <w:tab/>
          </w:r>
          <w:r>
            <w:fldChar w:fldCharType="begin"/>
          </w:r>
          <w:r>
            <w:instrText xml:space="preserve"> PAGEREF _Toc9301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D9E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_Toc8874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BFB90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BFCA5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84662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279"/>
      <w:bookmarkStart w:id="21" w:name="_GoBack"/>
      <w:bookmarkEnd w:id="21"/>
      <w:r>
        <w:rPr>
          <w:rFonts w:hint="default"/>
          <w:lang w:val="en-US" w:eastAsia="zh-CN"/>
        </w:rPr>
        <w:t>总则</w:t>
      </w:r>
      <w:bookmarkEnd w:id="2"/>
    </w:p>
    <w:p w14:paraId="51A2A98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498"/>
      <w:r>
        <w:rPr>
          <w:rFonts w:hint="default"/>
          <w:lang w:val="en-US" w:eastAsia="zh-CN"/>
        </w:rPr>
        <w:t>目的</w:t>
      </w:r>
      <w:bookmarkEnd w:id="3"/>
    </w:p>
    <w:p w14:paraId="2DAF3B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为规范公司软件运维服务交付成果的确认过程，确保服务满足合同约定、服务级别协议（SLA）及客户要求，明确验收各方的职责、流程与标准，保障服务交付质量，控制服务风险，特制定本制度。</w:t>
      </w:r>
    </w:p>
    <w:p w14:paraId="025891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7291"/>
      <w:r>
        <w:rPr>
          <w:rFonts w:hint="default"/>
          <w:lang w:val="en-US" w:eastAsia="zh-CN"/>
        </w:rPr>
        <w:t>适用范围</w:t>
      </w:r>
      <w:bookmarkEnd w:id="4"/>
    </w:p>
    <w:p w14:paraId="279733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本制度适用于公司所有软件运维服务项目的阶段性交付验收、合同周期结束验收、新增服务功能上线验收及其他约定的专项服务成果验收。</w:t>
      </w:r>
    </w:p>
    <w:p w14:paraId="3B39C94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2103"/>
      <w:r>
        <w:rPr>
          <w:rFonts w:hint="default"/>
          <w:lang w:val="en-US" w:eastAsia="zh-CN"/>
        </w:rPr>
        <w:t>基本原则</w:t>
      </w:r>
      <w:bookmarkEnd w:id="5"/>
    </w:p>
    <w:p w14:paraId="174A53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客观公正原则：以合同、SLA及双方确认的需求文档为唯一依据，客观评价服务成果。</w:t>
      </w:r>
    </w:p>
    <w:p w14:paraId="6D5C16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标准量化原则：验收标准应尽可能量化、可测量，避免主观判断。</w:t>
      </w:r>
    </w:p>
    <w:p w14:paraId="55F673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闭环管理原则：验收活动需有明确的启动、执行、决策和关闭流程，对发现的问题须跟踪至解决。</w:t>
      </w:r>
    </w:p>
    <w:p w14:paraId="21AAA9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客户参与原则：验收过程应有客户方代表或授权人参与，共同确认结果。</w:t>
      </w:r>
    </w:p>
    <w:p w14:paraId="29D559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154"/>
      <w:r>
        <w:rPr>
          <w:rFonts w:hint="default"/>
          <w:lang w:val="en-US" w:eastAsia="zh-CN"/>
        </w:rPr>
        <w:t>组织与职责</w:t>
      </w:r>
      <w:bookmarkEnd w:id="6"/>
    </w:p>
    <w:p w14:paraId="5D7F19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51"/>
      <w:r>
        <w:rPr>
          <w:rFonts w:hint="default"/>
          <w:lang w:val="en-US" w:eastAsia="zh-CN"/>
        </w:rPr>
        <w:t>质量管理部</w:t>
      </w:r>
      <w:bookmarkEnd w:id="7"/>
    </w:p>
    <w:p w14:paraId="364088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作为验收管理的归口与组织部门。</w:t>
      </w:r>
    </w:p>
    <w:p w14:paraId="217BF4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负责制定并维护本制度及相关模板。</w:t>
      </w:r>
    </w:p>
    <w:p w14:paraId="0401F5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负责组织成立验收小组，牵头召开验收评审会议。</w:t>
      </w:r>
    </w:p>
    <w:p w14:paraId="0DDCD1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负责监督验收过程的合规性，归档验收全过程文档。</w:t>
      </w:r>
    </w:p>
    <w:p w14:paraId="628E5B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负责对验收遗留问题的整改进行跟踪验证。</w:t>
      </w:r>
    </w:p>
    <w:p w14:paraId="36FD79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853"/>
      <w:r>
        <w:rPr>
          <w:rFonts w:hint="default"/>
          <w:lang w:val="en-US" w:eastAsia="zh-CN"/>
        </w:rPr>
        <w:t>数智运营部</w:t>
      </w:r>
      <w:bookmarkEnd w:id="8"/>
    </w:p>
    <w:p w14:paraId="068ADD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负责提出验收申请。</w:t>
      </w:r>
    </w:p>
    <w:p w14:paraId="55F7DC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负责准备并提交完整的验收交付物（如服务报告、运行记录、KPI达成数据等）。</w:t>
      </w:r>
    </w:p>
    <w:p w14:paraId="5B04FD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负责汇报服务履行情况，并解答验收小组的质询。</w:t>
      </w:r>
    </w:p>
    <w:p w14:paraId="4A5574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负责对验收中发现的不符项进行整改。</w:t>
      </w:r>
    </w:p>
    <w:p w14:paraId="6912CF8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756"/>
      <w:r>
        <w:rPr>
          <w:rFonts w:hint="default"/>
          <w:lang w:val="en-US" w:eastAsia="zh-CN"/>
        </w:rPr>
        <w:t>研究总院</w:t>
      </w:r>
      <w:bookmarkEnd w:id="9"/>
    </w:p>
    <w:p w14:paraId="0C3AA3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当验收涉及新上线功能、重大技术变更或专项技术成果时，负责提供技术方案说明、测试报告等技术文档。</w:t>
      </w:r>
    </w:p>
    <w:p w14:paraId="015BAC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参与相关技术指标的符合性评审。</w:t>
      </w:r>
    </w:p>
    <w:p w14:paraId="2B3EF2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0202"/>
      <w:r>
        <w:rPr>
          <w:rFonts w:hint="default"/>
          <w:lang w:val="en-US" w:eastAsia="zh-CN"/>
        </w:rPr>
        <w:t>验收小组</w:t>
      </w:r>
      <w:bookmarkEnd w:id="10"/>
    </w:p>
    <w:p w14:paraId="1BE8B3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由质量管理部牵头临时组建，成员通常包括：质量管理部代表、数智运营部项目/服务负责人、客户方代表（或授权人），必要时邀请研究总院技术专家。</w:t>
      </w:r>
    </w:p>
    <w:p w14:paraId="564500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负责审查交付物，依据验收标准进行评审与合议，形成最终验收结论。</w:t>
      </w:r>
    </w:p>
    <w:p w14:paraId="1A78F9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9491"/>
      <w:r>
        <w:rPr>
          <w:rFonts w:hint="default"/>
          <w:lang w:val="en-US" w:eastAsia="zh-CN"/>
        </w:rPr>
        <w:t>验收类型与触发条件</w:t>
      </w:r>
      <w:bookmarkEnd w:id="11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900"/>
        <w:gridCol w:w="3904"/>
      </w:tblGrid>
      <w:tr w14:paraId="6D0D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2EB8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BF5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FCC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主要验收依据</w:t>
            </w:r>
          </w:p>
        </w:tc>
      </w:tr>
      <w:tr w14:paraId="61D7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87B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周期性服务验收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A62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服务合同约定的月度、季度、年度周期结束。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4344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该周期内的SLA/KPI达成报告、服务总结报告、事件/问题处理记录等。</w:t>
            </w:r>
          </w:p>
        </w:tc>
      </w:tr>
      <w:tr w14:paraId="0139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076C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项目/专项服务验收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9A0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专项服务（如系统升级、迁移、优化）实施完成，达到约定里程碑。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2EC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项目合同、技术方案、测试报告、上线报告、用户手册等。</w:t>
            </w:r>
          </w:p>
        </w:tc>
      </w:tr>
      <w:tr w14:paraId="00BD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C330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合同终止验收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31F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服务合同履行完毕或提前终止时。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6713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整个合同期的服务绩效总览、资产清单、知识转移文档等。</w:t>
            </w:r>
          </w:p>
        </w:tc>
      </w:tr>
      <w:tr w14:paraId="4BB5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E04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新增服务功能验收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729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应客户要求新增的运维服务功能或工具上线后。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33B7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新增功能需求说明书、测试验收报告、操作指南等。</w:t>
            </w:r>
          </w:p>
        </w:tc>
      </w:tr>
    </w:tbl>
    <w:p w14:paraId="11EEA7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235"/>
      <w:r>
        <w:rPr>
          <w:rFonts w:hint="default"/>
          <w:lang w:val="en-US" w:eastAsia="zh-CN"/>
        </w:rPr>
        <w:t>验收管理流程</w:t>
      </w:r>
      <w:bookmarkEnd w:id="12"/>
    </w:p>
    <w:p w14:paraId="0A3A1BC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5790"/>
      <w:r>
        <w:rPr>
          <w:rFonts w:hint="default"/>
          <w:lang w:val="en-US" w:eastAsia="zh-CN"/>
        </w:rPr>
        <w:t>验收准备与申请</w:t>
      </w:r>
      <w:bookmarkEnd w:id="13"/>
    </w:p>
    <w:p w14:paraId="51ED8D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数智运营部在达到验收触发条件后，收集、整理全部验收交付物，并进行自查。</w:t>
      </w:r>
    </w:p>
    <w:p w14:paraId="1E6625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确认符合验收条件后，填写《服务验收申请表》，连同交付物一并提交至质量管理部。</w:t>
      </w:r>
    </w:p>
    <w:p w14:paraId="609C898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3761"/>
      <w:r>
        <w:rPr>
          <w:rFonts w:hint="default"/>
          <w:lang w:val="en-US" w:eastAsia="zh-CN"/>
        </w:rPr>
        <w:t>验收策划与组织</w:t>
      </w:r>
      <w:bookmarkEnd w:id="14"/>
    </w:p>
    <w:p w14:paraId="3EEA00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质量管理部审核验收申请材料是否齐全。</w:t>
      </w:r>
    </w:p>
    <w:p w14:paraId="31163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审核通过后，牵头成立验收小组，确定验收会议时间、地点、议程，编制《服务验收计划》，并提前发送给所有小组成员。</w:t>
      </w:r>
    </w:p>
    <w:p w14:paraId="12C9AFA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5553"/>
      <w:r>
        <w:rPr>
          <w:rFonts w:hint="default"/>
          <w:lang w:val="en-US" w:eastAsia="zh-CN"/>
        </w:rPr>
        <w:t>验收评审会议</w:t>
      </w:r>
      <w:bookmarkEnd w:id="15"/>
    </w:p>
    <w:p w14:paraId="05B4BB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会议由质量管理部主持。</w:t>
      </w:r>
    </w:p>
    <w:p w14:paraId="42F753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数智运营部汇报服务履行情况，展示交付物。</w:t>
      </w:r>
    </w:p>
    <w:p w14:paraId="039041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验收小组依据验收标准（合同、SLA等），对交付物进行审阅、质询和讨论。</w:t>
      </w:r>
    </w:p>
    <w:p w14:paraId="672D43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会议记录员（通常由质量管理专员担任）详细记录评审意见、提出的问题及结论。</w:t>
      </w:r>
    </w:p>
    <w:p w14:paraId="6C37FFA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1994"/>
      <w:r>
        <w:rPr>
          <w:rFonts w:hint="default"/>
          <w:lang w:val="en-US" w:eastAsia="zh-CN"/>
        </w:rPr>
        <w:t>验收结论与报告</w:t>
      </w:r>
      <w:bookmarkEnd w:id="16"/>
    </w:p>
    <w:p w14:paraId="4A8EFE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验收结论分为三种：</w:t>
      </w:r>
    </w:p>
    <w:p w14:paraId="2BD7E8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通过：交付物完整，完全符合验收标准。</w:t>
      </w:r>
    </w:p>
    <w:p w14:paraId="3CA1EC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有条件通过：交付物基本符合要求，但存在少量不影响核心服务的轻微瑕疵，需在规定期限内完成整改。</w:t>
      </w:r>
    </w:p>
    <w:p w14:paraId="03CDCA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不通过：交付物存在重大缺失或未达到核心验收标准。</w:t>
      </w:r>
    </w:p>
    <w:p w14:paraId="29498E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质量管理部根据会议决议，在2个工作日内编制《服务验收报告》，明确结论、遗留问题清单（如有）及整改要求，由验收小组成员会签确认。</w:t>
      </w:r>
    </w:p>
    <w:p w14:paraId="64B4C3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8341"/>
      <w:r>
        <w:rPr>
          <w:rFonts w:hint="default"/>
          <w:lang w:val="en-US" w:eastAsia="zh-CN"/>
        </w:rPr>
        <w:t>问题整改与关闭</w:t>
      </w:r>
      <w:bookmarkEnd w:id="17"/>
    </w:p>
    <w:p w14:paraId="57F648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数智运营部根据《服务验收报告》中的问题清单，制定整改措施并落实。</w:t>
      </w:r>
    </w:p>
    <w:p w14:paraId="70F2B8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整改完成后，通知质量管理部进行验证。</w:t>
      </w:r>
    </w:p>
    <w:p w14:paraId="0A2BBA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质量管理部验证合格后，在报告上标注“整改完毕，准予关闭”，并通知客户方。</w:t>
      </w:r>
    </w:p>
    <w:p w14:paraId="7F6622A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454"/>
      <w:r>
        <w:rPr>
          <w:rFonts w:hint="default"/>
          <w:lang w:val="en-US" w:eastAsia="zh-CN"/>
        </w:rPr>
        <w:t>文档归档</w:t>
      </w:r>
      <w:bookmarkEnd w:id="18"/>
    </w:p>
    <w:p w14:paraId="43940A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验收流程全部关闭后，质量管理部将全套验收文档（申请表、计划、会议纪要、报告、整改记录等）进行归档保存。</w:t>
      </w:r>
    </w:p>
    <w:p w14:paraId="39FAEBA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301"/>
      <w:r>
        <w:rPr>
          <w:rFonts w:hint="default"/>
          <w:lang w:val="en-US" w:eastAsia="zh-CN"/>
        </w:rPr>
        <w:t>验收标准与交付物</w:t>
      </w:r>
      <w:bookmarkEnd w:id="19"/>
    </w:p>
    <w:p w14:paraId="5BC4CA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核心验收标准应以 《服务级别协议（SLA）》 中约定的关键绩效指标为基础，常见包括：</w:t>
      </w:r>
    </w:p>
    <w:p w14:paraId="79A01A4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服务可用性：系统可用率是否达标。</w:t>
      </w:r>
    </w:p>
    <w:p w14:paraId="56DBBC4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服务时效性：事件平均响应时间、平均解决时间是否达标。</w:t>
      </w:r>
    </w:p>
    <w:p w14:paraId="0A184D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服务有效性：事件解决率、问题一次性解决率是否达标。</w:t>
      </w:r>
    </w:p>
    <w:p w14:paraId="5E8CCEC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服务质量：变更成功率、发布成功率、客户满意度分数等。</w:t>
      </w:r>
    </w:p>
    <w:p w14:paraId="194CE2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基础交付物应至少包括：</w:t>
      </w:r>
    </w:p>
    <w:p w14:paraId="4346FDC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《运维服务报告》（周期/专项）</w:t>
      </w:r>
    </w:p>
    <w:p w14:paraId="2CCE271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《SLA/KPI绩效数据报表》</w:t>
      </w:r>
    </w:p>
    <w:p w14:paraId="170F04F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《重大事件/问题处理总结》</w:t>
      </w:r>
    </w:p>
    <w:p w14:paraId="4DDB0BA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《客户满意度调查反馈》（如该周期内已进行）</w:t>
      </w:r>
    </w:p>
    <w:p w14:paraId="25D6120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8874"/>
      <w:r>
        <w:rPr>
          <w:rFonts w:hint="default"/>
          <w:lang w:val="en-US" w:eastAsia="zh-CN"/>
        </w:rPr>
        <w:t>附则</w:t>
      </w:r>
      <w:bookmarkEnd w:id="20"/>
    </w:p>
    <w:p w14:paraId="4174BB1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0FDF3BE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420021B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本制度产生的相关记录表单（《服务验收申请表》、《服务验收计划》、《服务验收报告》等）由质量管理部负责设计并管理。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1EF3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B96F1"/>
    <w:multiLevelType w:val="singleLevel"/>
    <w:tmpl w:val="8BFB96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8EA26EF"/>
    <w:multiLevelType w:val="singleLevel"/>
    <w:tmpl w:val="28EA26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44F09BB"/>
    <w:multiLevelType w:val="singleLevel"/>
    <w:tmpl w:val="544F09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2EA7030"/>
    <w:rsid w:val="5C7A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1002</Words>
  <Characters>1116</Characters>
  <Lines>0</Lines>
  <Paragraphs>0</Paragraphs>
  <TotalTime>0</TotalTime>
  <ScaleCrop>false</ScaleCrop>
  <LinksUpToDate>false</LinksUpToDate>
  <CharactersWithSpaces>1200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