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309E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09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通信产业服务有限公司</w:t>
      </w:r>
      <w:bookmarkEnd w:id="0"/>
    </w:p>
    <w:p w14:paraId="1CA49E8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7613"/>
      <w:r>
        <w:rPr>
          <w:rFonts w:hint="eastAsia"/>
          <w:lang w:val="en-US" w:eastAsia="zh-CN"/>
        </w:rPr>
        <w:t>2025年6月满意度调查报告</w:t>
      </w:r>
      <w:bookmarkEnd w:id="1"/>
    </w:p>
    <w:p w14:paraId="6D97FEB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E6CC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A633D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1F0AB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2025.06.30</w:t>
            </w:r>
          </w:p>
        </w:tc>
      </w:tr>
      <w:tr w14:paraId="29036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6FCE2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622F1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2025.06.30</w:t>
            </w:r>
          </w:p>
        </w:tc>
      </w:tr>
      <w:tr w14:paraId="1B818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F7808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E5CE1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2025.06.30</w:t>
            </w:r>
          </w:p>
        </w:tc>
      </w:tr>
    </w:tbl>
    <w:p w14:paraId="5A3007A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8BCF9C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958F9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06950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6EADEA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A0938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FD008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965CC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44985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6D7D9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9D8C5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672296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A7CB9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AB19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 w14:paraId="264F56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973AA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10A06C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26C99E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37CD01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0E5595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BA96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24F09B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4185BF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7A6B3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495B15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010A2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15BE7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67C507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C9160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732DE5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3E5ED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88F318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97B4BE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0C0CE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73A01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D39095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527E70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7A7BA5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CF8765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8D3AB8C">
          <w:pPr>
            <w:pStyle w:val="16"/>
            <w:tabs>
              <w:tab w:val="right" w:leader="dot" w:pos="8306"/>
            </w:tabs>
          </w:pPr>
          <w:bookmarkStart w:id="10" w:name="_GoBack"/>
          <w:bookmarkEnd w:id="10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_Toc20096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8F71D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2025年6月满意度调查报告</w:t>
          </w:r>
          <w:r>
            <w:tab/>
          </w:r>
          <w:r>
            <w:fldChar w:fldCharType="begin"/>
          </w:r>
          <w:r>
            <w:instrText xml:space="preserve"> PAGEREF _Toc17613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B05BA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_Toc10447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F0B11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调查方法与评价体系</w:t>
          </w:r>
          <w:r>
            <w:tab/>
          </w:r>
          <w:r>
            <w:fldChar w:fldCharType="begin"/>
          </w:r>
          <w:r>
            <w:instrText xml:space="preserve"> PAGEREF _Toc11774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8A026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调查方法</w:t>
          </w:r>
          <w:r>
            <w:tab/>
          </w:r>
          <w:r>
            <w:fldChar w:fldCharType="begin"/>
          </w:r>
          <w:r>
            <w:instrText xml:space="preserve"> PAGEREF _Toc14592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F9537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评价与计分标准</w:t>
          </w:r>
          <w:r>
            <w:tab/>
          </w:r>
          <w:r>
            <w:fldChar w:fldCharType="begin"/>
          </w:r>
          <w:r>
            <w:instrText xml:space="preserve"> PAGEREF _Toc32189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6D6E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调查结果综合分析</w:t>
          </w:r>
          <w:r>
            <w:tab/>
          </w:r>
          <w:r>
            <w:fldChar w:fldCharType="begin"/>
          </w:r>
          <w:r>
            <w:instrText xml:space="preserve"> PAGEREF _Toc7658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728A5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整体满意度结果</w:t>
          </w:r>
          <w:r>
            <w:tab/>
          </w:r>
          <w:r>
            <w:fldChar w:fldCharType="begin"/>
          </w:r>
          <w:r>
            <w:instrText xml:space="preserve"> PAGEREF _Toc21289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E87ED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各维度满意度分析</w:t>
          </w:r>
          <w:r>
            <w:tab/>
          </w:r>
          <w:r>
            <w:fldChar w:fldCharType="begin"/>
          </w:r>
          <w:r>
            <w:instrText xml:space="preserve"> PAGEREF _Toc3914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8E730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结论与总结</w:t>
          </w:r>
          <w:r>
            <w:tab/>
          </w:r>
          <w:r>
            <w:fldChar w:fldCharType="begin"/>
          </w:r>
          <w:r>
            <w:instrText xml:space="preserve"> PAGEREF _Toc12216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76570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0C9413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77F5874">
      <w:pPr>
        <w:pStyle w:val="28"/>
        <w:bidi w:val="0"/>
        <w:rPr>
          <w:rFonts w:hint="default"/>
          <w:lang w:val="en-US" w:eastAsia="zh-CN"/>
        </w:rPr>
      </w:pPr>
      <w:bookmarkStart w:id="2" w:name="_Toc10447"/>
      <w:r>
        <w:rPr>
          <w:rFonts w:hint="default"/>
          <w:lang w:val="en-US" w:eastAsia="zh-CN"/>
        </w:rPr>
        <w:t>概述</w:t>
      </w:r>
      <w:bookmarkEnd w:id="2"/>
    </w:p>
    <w:p w14:paraId="1EFDEB2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为客观评估公司运维服务质量，深入了解客户需求与期望，持续提升客户满意度，质量管理部根据《客户满意度调查管理制度》要求，于2025年6月</w:t>
      </w:r>
      <w:r>
        <w:rPr>
          <w:rFonts w:hint="eastAsia"/>
          <w:lang w:val="en-US" w:eastAsia="zh-CN"/>
        </w:rPr>
        <w:t>底</w:t>
      </w:r>
      <w:r>
        <w:rPr>
          <w:rFonts w:hint="default"/>
          <w:lang w:val="en-US" w:eastAsia="zh-CN"/>
        </w:rPr>
        <w:t>组织开展了半年度客户满意度调查工作。</w:t>
      </w:r>
    </w:p>
    <w:p w14:paraId="3C27FBC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本次调查旨在通过对服务客户的直接回访，真实反映客户对我公司运维服务的质量评价，识别服务过程中的优势与待改进环节，为后续服务质量改进与管理决策提供客观依据。</w:t>
      </w:r>
    </w:p>
    <w:p w14:paraId="55E03AE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本次调查采用线上问卷与电话回访相结合的方式，面向2025年上半年有活跃服务记录的客户进行抽样调查。截至报告期，共回收有效调查问卷</w:t>
      </w:r>
      <w:r>
        <w:rPr>
          <w:rFonts w:hint="eastAsia"/>
          <w:lang w:val="en-US" w:eastAsia="zh-CN"/>
        </w:rPr>
        <w:t>8份</w:t>
      </w:r>
      <w:r>
        <w:rPr>
          <w:rFonts w:hint="default"/>
          <w:lang w:val="en-US" w:eastAsia="zh-CN"/>
        </w:rPr>
        <w:t>，覆盖了主要服务省份和项目，调查结果具有较好的代表性。</w:t>
      </w:r>
    </w:p>
    <w:p w14:paraId="6091392E">
      <w:pPr>
        <w:pStyle w:val="28"/>
        <w:bidi w:val="0"/>
        <w:rPr>
          <w:rFonts w:hint="default"/>
          <w:lang w:val="en-US" w:eastAsia="zh-CN"/>
        </w:rPr>
      </w:pPr>
      <w:bookmarkStart w:id="3" w:name="_Toc11774"/>
      <w:r>
        <w:rPr>
          <w:rFonts w:hint="default"/>
          <w:lang w:val="en-US" w:eastAsia="zh-CN"/>
        </w:rPr>
        <w:t>调查方法与评价体系</w:t>
      </w:r>
      <w:bookmarkEnd w:id="3"/>
    </w:p>
    <w:p w14:paraId="4EA93E25">
      <w:pPr>
        <w:pStyle w:val="30"/>
        <w:bidi w:val="0"/>
        <w:rPr>
          <w:rFonts w:hint="default"/>
          <w:lang w:val="en-US" w:eastAsia="zh-CN"/>
        </w:rPr>
      </w:pPr>
      <w:bookmarkStart w:id="4" w:name="_Toc14592"/>
      <w:r>
        <w:rPr>
          <w:rFonts w:hint="default"/>
          <w:lang w:val="en-US" w:eastAsia="zh-CN"/>
        </w:rPr>
        <w:t>调查方法</w:t>
      </w:r>
      <w:bookmarkEnd w:id="4"/>
    </w:p>
    <w:p w14:paraId="31EB58E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调查方式：以线上电子问卷</w:t>
      </w:r>
      <w:r>
        <w:rPr>
          <w:rFonts w:hint="eastAsia"/>
          <w:lang w:val="en-US" w:eastAsia="zh-CN"/>
        </w:rPr>
        <w:t>方式进行</w:t>
      </w:r>
      <w:r>
        <w:rPr>
          <w:rFonts w:hint="default"/>
          <w:lang w:val="en-US" w:eastAsia="zh-CN"/>
        </w:rPr>
        <w:t>。</w:t>
      </w:r>
    </w:p>
    <w:p w14:paraId="5ABC6B1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调查对象：从当期服务客户清单中，按项目类型和地域分层抽样选取。</w:t>
      </w:r>
    </w:p>
    <w:p w14:paraId="6DCF803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调查时间：</w:t>
      </w:r>
      <w:r>
        <w:rPr>
          <w:rFonts w:hint="eastAsia"/>
          <w:lang w:val="en-US" w:eastAsia="zh-CN"/>
        </w:rPr>
        <w:t>2025年6月30日</w:t>
      </w:r>
      <w:r>
        <w:rPr>
          <w:rFonts w:hint="default"/>
          <w:lang w:val="en-US" w:eastAsia="zh-CN"/>
        </w:rPr>
        <w:t>。</w:t>
      </w:r>
    </w:p>
    <w:p w14:paraId="7601964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问卷设计：围绕运维服务核心价值交付过程，服务响应、专业技术、问题解决、沟通协调、服务态度、文档质量、主动服务、整体价值八个评价维度。</w:t>
      </w:r>
    </w:p>
    <w:p w14:paraId="7044EB57">
      <w:pPr>
        <w:pStyle w:val="30"/>
        <w:bidi w:val="0"/>
        <w:rPr>
          <w:rFonts w:hint="default"/>
          <w:lang w:val="en-US" w:eastAsia="zh-CN"/>
        </w:rPr>
      </w:pPr>
      <w:bookmarkStart w:id="5" w:name="_Toc32189"/>
      <w:r>
        <w:rPr>
          <w:rFonts w:hint="default"/>
          <w:lang w:val="en-US" w:eastAsia="zh-CN"/>
        </w:rPr>
        <w:t>评价与计分标准</w:t>
      </w:r>
      <w:bookmarkEnd w:id="5"/>
    </w:p>
    <w:p w14:paraId="7569C83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分制进行评分：</w:t>
      </w:r>
    </w:p>
    <w:p w14:paraId="17E0D11A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分：非常满意</w:t>
      </w:r>
    </w:p>
    <w:p w14:paraId="1BD6F95C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分：满意</w:t>
      </w:r>
    </w:p>
    <w:p w14:paraId="5BED3ED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5-8</w:t>
      </w:r>
      <w:r>
        <w:rPr>
          <w:rFonts w:hint="default"/>
          <w:lang w:val="en-US" w:eastAsia="zh-CN"/>
        </w:rPr>
        <w:t>分：一般</w:t>
      </w:r>
    </w:p>
    <w:p w14:paraId="1D3FF70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4-5</w:t>
      </w:r>
      <w:r>
        <w:rPr>
          <w:rFonts w:hint="default"/>
          <w:lang w:val="en-US" w:eastAsia="zh-CN"/>
        </w:rPr>
        <w:t>分：不满意</w:t>
      </w:r>
    </w:p>
    <w:p w14:paraId="342AD69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-3</w:t>
      </w:r>
      <w:r>
        <w:rPr>
          <w:rFonts w:hint="default"/>
          <w:lang w:val="en-US" w:eastAsia="zh-CN"/>
        </w:rPr>
        <w:t>分：非常不满意</w:t>
      </w:r>
    </w:p>
    <w:p w14:paraId="1814760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客户满意度得分计算：</w:t>
      </w:r>
    </w:p>
    <w:p w14:paraId="3B4FAA7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单个客户满意度=(各维度得分总和 / 问卷总分)×100%</w:t>
      </w:r>
    </w:p>
    <w:p w14:paraId="6C97D09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本次整体客户满意度=</w:t>
      </w:r>
      <w:r>
        <w:drawing>
          <wp:inline distT="0" distB="0" distL="114300" distR="114300">
            <wp:extent cx="1847215" cy="255905"/>
            <wp:effectExtent l="0" t="0" r="0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A19D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达标判定：依据《运维服务能力管理指标体系》，整体满意度目标值为≥90%。</w:t>
      </w:r>
    </w:p>
    <w:p w14:paraId="2EE4BDE4">
      <w:pPr>
        <w:pStyle w:val="28"/>
        <w:bidi w:val="0"/>
        <w:rPr>
          <w:rFonts w:hint="default"/>
          <w:lang w:val="en-US" w:eastAsia="zh-CN"/>
        </w:rPr>
      </w:pPr>
      <w:bookmarkStart w:id="6" w:name="_Toc7658"/>
      <w:r>
        <w:rPr>
          <w:rFonts w:hint="default"/>
          <w:lang w:val="en-US" w:eastAsia="zh-CN"/>
        </w:rPr>
        <w:t>调查结果综合分析</w:t>
      </w:r>
      <w:bookmarkEnd w:id="6"/>
    </w:p>
    <w:tbl>
      <w:tblPr>
        <w:tblStyle w:val="26"/>
        <w:tblW w:w="830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2927"/>
        <w:gridCol w:w="501"/>
        <w:gridCol w:w="513"/>
        <w:gridCol w:w="466"/>
        <w:gridCol w:w="571"/>
        <w:gridCol w:w="477"/>
        <w:gridCol w:w="451"/>
        <w:gridCol w:w="456"/>
        <w:gridCol w:w="468"/>
        <w:gridCol w:w="756"/>
      </w:tblGrid>
      <w:tr w14:paraId="4248AD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723" w:type="dxa"/>
            <w:vMerge w:val="restart"/>
          </w:tcPr>
          <w:p w14:paraId="74156C7D">
            <w:pPr>
              <w:spacing w:before="170" w:line="227" w:lineRule="auto"/>
              <w:ind w:left="128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927" w:type="dxa"/>
            <w:vMerge w:val="restart"/>
          </w:tcPr>
          <w:p w14:paraId="1E4448E7">
            <w:pPr>
              <w:spacing w:before="170" w:line="227" w:lineRule="auto"/>
              <w:ind w:left="128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客户名称</w:t>
            </w:r>
          </w:p>
        </w:tc>
        <w:tc>
          <w:tcPr>
            <w:tcW w:w="4659" w:type="dxa"/>
            <w:gridSpan w:val="9"/>
          </w:tcPr>
          <w:p w14:paraId="4A4F1501">
            <w:pPr>
              <w:spacing w:before="171" w:line="267" w:lineRule="exact"/>
              <w:ind w:left="226"/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"/>
                <w:position w:val="1"/>
                <w:sz w:val="20"/>
                <w:szCs w:val="20"/>
                <w:lang w:val="en-US" w:eastAsia="zh-CN"/>
              </w:rPr>
              <w:t>客户满意度情况</w:t>
            </w:r>
          </w:p>
        </w:tc>
      </w:tr>
      <w:tr w14:paraId="7FFD10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9" w:hRule="atLeast"/>
        </w:trPr>
        <w:tc>
          <w:tcPr>
            <w:tcW w:w="723" w:type="dxa"/>
            <w:vMerge w:val="continue"/>
          </w:tcPr>
          <w:p w14:paraId="2A05DF40">
            <w:pPr>
              <w:spacing w:before="170" w:line="227" w:lineRule="auto"/>
              <w:ind w:left="128"/>
              <w:rPr>
                <w:rFonts w:ascii="宋体" w:hAnsi="宋体" w:eastAsia="宋体" w:cs="宋体"/>
                <w:spacing w:val="8"/>
                <w:sz w:val="20"/>
                <w:szCs w:val="20"/>
              </w:rPr>
            </w:pPr>
          </w:p>
        </w:tc>
        <w:tc>
          <w:tcPr>
            <w:tcW w:w="2927" w:type="dxa"/>
            <w:vMerge w:val="continue"/>
          </w:tcPr>
          <w:p w14:paraId="34497435">
            <w:pPr>
              <w:spacing w:before="170" w:line="227" w:lineRule="auto"/>
              <w:ind w:left="128"/>
              <w:rPr>
                <w:rFonts w:ascii="宋体" w:hAnsi="宋体" w:eastAsia="宋体" w:cs="宋体"/>
                <w:spacing w:val="8"/>
                <w:sz w:val="20"/>
                <w:szCs w:val="20"/>
              </w:rPr>
            </w:pPr>
          </w:p>
        </w:tc>
        <w:tc>
          <w:tcPr>
            <w:tcW w:w="501" w:type="dxa"/>
            <w:shd w:val="clear" w:color="auto" w:fill="auto"/>
          </w:tcPr>
          <w:p w14:paraId="2AFD2C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服务响应</w:t>
            </w:r>
          </w:p>
        </w:tc>
        <w:tc>
          <w:tcPr>
            <w:tcW w:w="513" w:type="dxa"/>
            <w:shd w:val="clear" w:color="auto" w:fill="auto"/>
          </w:tcPr>
          <w:p w14:paraId="60D4075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leftChars="0" w:right="113" w:firstLine="0" w:firstLineChars="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专业技术</w:t>
            </w:r>
          </w:p>
        </w:tc>
        <w:tc>
          <w:tcPr>
            <w:tcW w:w="466" w:type="dxa"/>
            <w:shd w:val="clear" w:color="auto" w:fill="auto"/>
          </w:tcPr>
          <w:p w14:paraId="7C1F7FC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问题解决</w:t>
            </w:r>
          </w:p>
        </w:tc>
        <w:tc>
          <w:tcPr>
            <w:tcW w:w="571" w:type="dxa"/>
            <w:shd w:val="clear" w:color="auto" w:fill="auto"/>
          </w:tcPr>
          <w:p w14:paraId="1114A05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沟通协调</w:t>
            </w:r>
          </w:p>
        </w:tc>
        <w:tc>
          <w:tcPr>
            <w:tcW w:w="477" w:type="dxa"/>
            <w:shd w:val="clear" w:color="auto" w:fill="auto"/>
          </w:tcPr>
          <w:p w14:paraId="23C8BFC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服务态度</w:t>
            </w:r>
          </w:p>
        </w:tc>
        <w:tc>
          <w:tcPr>
            <w:tcW w:w="451" w:type="dxa"/>
            <w:shd w:val="clear" w:color="auto" w:fill="auto"/>
          </w:tcPr>
          <w:p w14:paraId="789BC64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文档质量</w:t>
            </w:r>
          </w:p>
        </w:tc>
        <w:tc>
          <w:tcPr>
            <w:tcW w:w="456" w:type="dxa"/>
            <w:shd w:val="clear" w:color="auto" w:fill="auto"/>
          </w:tcPr>
          <w:p w14:paraId="52445A2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主动服务</w:t>
            </w:r>
          </w:p>
        </w:tc>
        <w:tc>
          <w:tcPr>
            <w:tcW w:w="468" w:type="dxa"/>
          </w:tcPr>
          <w:p w14:paraId="202946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</w:pPr>
            <w:r>
              <w:rPr>
                <w:rFonts w:hint="default"/>
                <w:lang w:val="en-US" w:eastAsia="zh-CN"/>
              </w:rPr>
              <w:t>整体价值</w:t>
            </w:r>
          </w:p>
        </w:tc>
        <w:tc>
          <w:tcPr>
            <w:tcW w:w="756" w:type="dxa"/>
          </w:tcPr>
          <w:p w14:paraId="079430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exact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合计</w:t>
            </w:r>
          </w:p>
        </w:tc>
      </w:tr>
      <w:tr w14:paraId="084E0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23" w:type="dxa"/>
          </w:tcPr>
          <w:p w14:paraId="47AEEFF4">
            <w:pPr>
              <w:spacing w:before="170" w:line="227" w:lineRule="auto"/>
              <w:ind w:left="128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927" w:type="dxa"/>
          </w:tcPr>
          <w:p w14:paraId="3C89075D">
            <w:pPr>
              <w:spacing w:before="170" w:line="227" w:lineRule="auto"/>
              <w:ind w:left="128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16"/>
                <w:szCs w:val="16"/>
                <w:lang w:val="en-US" w:eastAsia="zh-CN"/>
              </w:rPr>
              <w:t>江西电信信息产业有限公司</w:t>
            </w:r>
          </w:p>
        </w:tc>
        <w:tc>
          <w:tcPr>
            <w:tcW w:w="501" w:type="dxa"/>
          </w:tcPr>
          <w:p w14:paraId="089CBF04">
            <w:r>
              <w:t>10</w:t>
            </w:r>
          </w:p>
        </w:tc>
        <w:tc>
          <w:tcPr>
            <w:tcW w:w="513" w:type="dxa"/>
          </w:tcPr>
          <w:p w14:paraId="1CE6982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4BF1D34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 w14:paraId="0E9AC74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477" w:type="dxa"/>
          </w:tcPr>
          <w:p w14:paraId="6CCB7307">
            <w:r>
              <w:t>10</w:t>
            </w:r>
          </w:p>
        </w:tc>
        <w:tc>
          <w:tcPr>
            <w:tcW w:w="451" w:type="dxa"/>
          </w:tcPr>
          <w:p w14:paraId="0069F0C4">
            <w:r>
              <w:t>10</w:t>
            </w:r>
          </w:p>
        </w:tc>
        <w:tc>
          <w:tcPr>
            <w:tcW w:w="456" w:type="dxa"/>
          </w:tcPr>
          <w:p w14:paraId="67A6B764">
            <w:r>
              <w:t>9</w:t>
            </w:r>
          </w:p>
        </w:tc>
        <w:tc>
          <w:tcPr>
            <w:tcW w:w="468" w:type="dxa"/>
          </w:tcPr>
          <w:p w14:paraId="1470F6C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2BA8AF5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95%</w:t>
            </w:r>
          </w:p>
        </w:tc>
      </w:tr>
      <w:tr w14:paraId="397DD5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723" w:type="dxa"/>
          </w:tcPr>
          <w:p w14:paraId="3175FF07">
            <w:pPr>
              <w:spacing w:before="128" w:line="227" w:lineRule="auto"/>
              <w:ind w:left="108"/>
              <w:rPr>
                <w:rFonts w:hint="eastAsia" w:ascii="宋体" w:hAnsi="宋体" w:eastAsia="宋体" w:cs="宋体"/>
                <w:spacing w:val="9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927" w:type="dxa"/>
          </w:tcPr>
          <w:p w14:paraId="4C713DB8">
            <w:pPr>
              <w:spacing w:before="128" w:line="227" w:lineRule="auto"/>
              <w:ind w:left="108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16"/>
                <w:szCs w:val="16"/>
                <w:lang w:val="en-US" w:eastAsia="zh-CN"/>
              </w:rPr>
              <w:t>鹰潭应用工程学校</w:t>
            </w:r>
          </w:p>
        </w:tc>
        <w:tc>
          <w:tcPr>
            <w:tcW w:w="501" w:type="dxa"/>
          </w:tcPr>
          <w:p w14:paraId="14088653">
            <w:r>
              <w:t>10</w:t>
            </w:r>
          </w:p>
        </w:tc>
        <w:tc>
          <w:tcPr>
            <w:tcW w:w="513" w:type="dxa"/>
          </w:tcPr>
          <w:p w14:paraId="6B8F24E6"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3370B37E">
            <w:r>
              <w:t>9</w:t>
            </w:r>
          </w:p>
        </w:tc>
        <w:tc>
          <w:tcPr>
            <w:tcW w:w="571" w:type="dxa"/>
          </w:tcPr>
          <w:p w14:paraId="0926BEE0">
            <w:r>
              <w:t>8</w:t>
            </w:r>
          </w:p>
        </w:tc>
        <w:tc>
          <w:tcPr>
            <w:tcW w:w="477" w:type="dxa"/>
          </w:tcPr>
          <w:p w14:paraId="3D2650B9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51" w:type="dxa"/>
          </w:tcPr>
          <w:p w14:paraId="0600F8F3">
            <w:r>
              <w:t>10</w:t>
            </w:r>
          </w:p>
        </w:tc>
        <w:tc>
          <w:tcPr>
            <w:tcW w:w="456" w:type="dxa"/>
          </w:tcPr>
          <w:p w14:paraId="50447D68">
            <w:r>
              <w:t>10</w:t>
            </w:r>
          </w:p>
        </w:tc>
        <w:tc>
          <w:tcPr>
            <w:tcW w:w="468" w:type="dxa"/>
          </w:tcPr>
          <w:p w14:paraId="11E1BC3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1B275724">
            <w:r>
              <w:rPr>
                <w:rFonts w:hint="eastAsia"/>
                <w:lang w:val="en-US" w:eastAsia="zh-CN"/>
              </w:rPr>
              <w:t>95%</w:t>
            </w:r>
          </w:p>
        </w:tc>
      </w:tr>
      <w:tr w14:paraId="7B4CDA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17A7CBFC">
            <w:pPr>
              <w:spacing w:before="126" w:line="227" w:lineRule="auto"/>
              <w:ind w:left="112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927" w:type="dxa"/>
          </w:tcPr>
          <w:p w14:paraId="37A307BA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鹰潭市余江区住房和城乡建设局</w:t>
            </w:r>
          </w:p>
        </w:tc>
        <w:tc>
          <w:tcPr>
            <w:tcW w:w="501" w:type="dxa"/>
          </w:tcPr>
          <w:p w14:paraId="6B6C0746">
            <w:r>
              <w:t>10</w:t>
            </w:r>
          </w:p>
        </w:tc>
        <w:tc>
          <w:tcPr>
            <w:tcW w:w="513" w:type="dxa"/>
          </w:tcPr>
          <w:p w14:paraId="3CCFA58A"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500213E9">
            <w:r>
              <w:rPr>
                <w:rFonts w:hint="eastAsia"/>
                <w:lang w:val="en-US" w:eastAsia="zh-CN"/>
              </w:rPr>
              <w:t>1</w:t>
            </w:r>
            <w:r>
              <w:t>0</w:t>
            </w:r>
          </w:p>
        </w:tc>
        <w:tc>
          <w:tcPr>
            <w:tcW w:w="571" w:type="dxa"/>
          </w:tcPr>
          <w:p w14:paraId="0F769F1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 w14:paraId="74FAC1C4">
            <w:r>
              <w:t>10</w:t>
            </w:r>
          </w:p>
        </w:tc>
        <w:tc>
          <w:tcPr>
            <w:tcW w:w="451" w:type="dxa"/>
          </w:tcPr>
          <w:p w14:paraId="2EA57AA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5DAE70AE">
            <w:r>
              <w:t>10</w:t>
            </w:r>
          </w:p>
        </w:tc>
        <w:tc>
          <w:tcPr>
            <w:tcW w:w="468" w:type="dxa"/>
          </w:tcPr>
          <w:p w14:paraId="789F31C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756" w:type="dxa"/>
          </w:tcPr>
          <w:p w14:paraId="50E044B3">
            <w:r>
              <w:rPr>
                <w:rFonts w:hint="eastAsia"/>
                <w:lang w:val="en-US" w:eastAsia="zh-CN"/>
              </w:rPr>
              <w:t>97.5%</w:t>
            </w:r>
          </w:p>
        </w:tc>
      </w:tr>
      <w:tr w14:paraId="3CE094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20581A4C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2927" w:type="dxa"/>
          </w:tcPr>
          <w:p w14:paraId="2C15FC0C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南昌恒兴物业管理有限公司</w:t>
            </w:r>
          </w:p>
        </w:tc>
        <w:tc>
          <w:tcPr>
            <w:tcW w:w="501" w:type="dxa"/>
          </w:tcPr>
          <w:p w14:paraId="516F967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2621E46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3985F66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71" w:type="dxa"/>
          </w:tcPr>
          <w:p w14:paraId="27B93D5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 w14:paraId="1C062B3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51" w:type="dxa"/>
          </w:tcPr>
          <w:p w14:paraId="52AC643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7188E79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 w14:paraId="6D5BE20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3B98E43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</w:tr>
      <w:tr w14:paraId="7B69FF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31D7E67B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2927" w:type="dxa"/>
          </w:tcPr>
          <w:p w14:paraId="52D8AA00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赣州华信科技有限公司</w:t>
            </w:r>
          </w:p>
        </w:tc>
        <w:tc>
          <w:tcPr>
            <w:tcW w:w="501" w:type="dxa"/>
          </w:tcPr>
          <w:p w14:paraId="4B416B6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62A726A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7684F9E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71" w:type="dxa"/>
          </w:tcPr>
          <w:p w14:paraId="3CDB15C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 w14:paraId="7B1B32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 w14:paraId="64E6C2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45A9C49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 w14:paraId="7638ED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4BA8C7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 w14:paraId="758E4D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64AF9E02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927" w:type="dxa"/>
          </w:tcPr>
          <w:p w14:paraId="7947E6B8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九江职业技术学院</w:t>
            </w:r>
          </w:p>
        </w:tc>
        <w:tc>
          <w:tcPr>
            <w:tcW w:w="501" w:type="dxa"/>
          </w:tcPr>
          <w:p w14:paraId="17113E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2255F2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5E5EF41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 w14:paraId="2B55046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 w14:paraId="04891FF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 w14:paraId="058DFB4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2773278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68" w:type="dxa"/>
          </w:tcPr>
          <w:p w14:paraId="1388972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5F193BF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</w:tr>
      <w:tr w14:paraId="722BCF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79B8EEBF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2927" w:type="dxa"/>
          </w:tcPr>
          <w:p w14:paraId="4C1C3459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抚州市人民医院</w:t>
            </w:r>
          </w:p>
        </w:tc>
        <w:tc>
          <w:tcPr>
            <w:tcW w:w="501" w:type="dxa"/>
          </w:tcPr>
          <w:p w14:paraId="0A9EDC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01E7EE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757F043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 w14:paraId="5AA5A63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 w14:paraId="7CC0C19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 w14:paraId="6B1C4C6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0907271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 w14:paraId="666102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501A01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 w14:paraId="77429F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18BB10D7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2927" w:type="dxa"/>
          </w:tcPr>
          <w:p w14:paraId="43C4283D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上饶市公安局</w:t>
            </w:r>
          </w:p>
        </w:tc>
        <w:tc>
          <w:tcPr>
            <w:tcW w:w="501" w:type="dxa"/>
          </w:tcPr>
          <w:p w14:paraId="01D7EB5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554D44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03457F7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571" w:type="dxa"/>
          </w:tcPr>
          <w:p w14:paraId="245FA2B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 w14:paraId="4191FB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 w14:paraId="3EBCB98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7ECD4FD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 w14:paraId="429615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0FBE06D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96.3%</w:t>
            </w:r>
          </w:p>
        </w:tc>
      </w:tr>
      <w:tr w14:paraId="1F9CE7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723" w:type="dxa"/>
          </w:tcPr>
          <w:p w14:paraId="0EE70FD3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</w:p>
        </w:tc>
        <w:tc>
          <w:tcPr>
            <w:tcW w:w="2927" w:type="dxa"/>
          </w:tcPr>
          <w:p w14:paraId="728858F2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满意度占比</w:t>
            </w:r>
          </w:p>
        </w:tc>
        <w:tc>
          <w:tcPr>
            <w:tcW w:w="501" w:type="dxa"/>
            <w:vAlign w:val="center"/>
          </w:tcPr>
          <w:p w14:paraId="2513263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513" w:type="dxa"/>
            <w:vAlign w:val="center"/>
          </w:tcPr>
          <w:p w14:paraId="28E3C7D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466" w:type="dxa"/>
            <w:vAlign w:val="center"/>
          </w:tcPr>
          <w:p w14:paraId="27C73F3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92.5% </w:t>
            </w:r>
          </w:p>
        </w:tc>
        <w:tc>
          <w:tcPr>
            <w:tcW w:w="571" w:type="dxa"/>
            <w:vAlign w:val="center"/>
          </w:tcPr>
          <w:p w14:paraId="4301961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90%</w:t>
            </w:r>
          </w:p>
        </w:tc>
        <w:tc>
          <w:tcPr>
            <w:tcW w:w="477" w:type="dxa"/>
            <w:vAlign w:val="center"/>
          </w:tcPr>
          <w:p w14:paraId="7A463A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  <w:tc>
          <w:tcPr>
            <w:tcW w:w="451" w:type="dxa"/>
            <w:vAlign w:val="center"/>
          </w:tcPr>
          <w:p w14:paraId="3DF7738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456" w:type="dxa"/>
            <w:vAlign w:val="center"/>
          </w:tcPr>
          <w:p w14:paraId="25FA640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  <w:tc>
          <w:tcPr>
            <w:tcW w:w="468" w:type="dxa"/>
          </w:tcPr>
          <w:p w14:paraId="216503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  <w:tc>
          <w:tcPr>
            <w:tcW w:w="756" w:type="dxa"/>
          </w:tcPr>
          <w:p w14:paraId="3F1266D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97%</w:t>
            </w:r>
          </w:p>
        </w:tc>
      </w:tr>
    </w:tbl>
    <w:p w14:paraId="0DE3A56E">
      <w:pPr>
        <w:pStyle w:val="30"/>
        <w:bidi w:val="0"/>
        <w:rPr>
          <w:rFonts w:hint="default"/>
          <w:lang w:val="en-US" w:eastAsia="zh-CN"/>
        </w:rPr>
      </w:pPr>
      <w:bookmarkStart w:id="7" w:name="_Toc21289"/>
      <w:r>
        <w:rPr>
          <w:rFonts w:hint="default"/>
          <w:lang w:val="en-US" w:eastAsia="zh-CN"/>
        </w:rPr>
        <w:t>整体满意度结果</w:t>
      </w:r>
      <w:bookmarkEnd w:id="7"/>
    </w:p>
    <w:p w14:paraId="21B4432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本次调查的整体客户满意度得分为</w:t>
      </w:r>
      <w:r>
        <w:rPr>
          <w:rFonts w:hint="eastAsia"/>
          <w:lang w:val="en-US" w:eastAsia="zh-CN"/>
        </w:rPr>
        <w:t>97%，</w:t>
      </w:r>
      <w:r>
        <w:rPr>
          <w:rFonts w:hint="default"/>
          <w:lang w:val="en-US" w:eastAsia="zh-CN"/>
        </w:rPr>
        <w:t>超过公司设定的年度目标值，表明客户对公司上半年运维服务的总体评价为“满意”。</w:t>
      </w:r>
    </w:p>
    <w:p w14:paraId="3AEA33B9">
      <w:pPr>
        <w:pStyle w:val="30"/>
        <w:bidi w:val="0"/>
        <w:rPr>
          <w:rFonts w:hint="default"/>
          <w:lang w:val="en-US" w:eastAsia="zh-CN"/>
        </w:rPr>
      </w:pPr>
      <w:bookmarkStart w:id="8" w:name="_Toc3914"/>
      <w:r>
        <w:rPr>
          <w:rFonts w:hint="default"/>
          <w:lang w:val="en-US" w:eastAsia="zh-CN"/>
        </w:rPr>
        <w:t>各维度满意度分析</w:t>
      </w:r>
      <w:bookmarkEnd w:id="8"/>
    </w:p>
    <w:p w14:paraId="11B8421E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通过收集的满意度调查表分析得出，客户对沟通协调方面满意度较低，在下一阶段应加强客户满意度调查管理制度的培训。质量相关部门加强监督。</w:t>
      </w:r>
    </w:p>
    <w:p w14:paraId="14B1ACE1">
      <w:pPr>
        <w:pStyle w:val="28"/>
        <w:bidi w:val="0"/>
        <w:rPr>
          <w:rFonts w:hint="default"/>
          <w:lang w:val="en-US" w:eastAsia="zh-CN"/>
        </w:rPr>
      </w:pPr>
      <w:bookmarkStart w:id="9" w:name="_Toc12216"/>
      <w:r>
        <w:rPr>
          <w:rFonts w:hint="default"/>
          <w:lang w:val="en-US" w:eastAsia="zh-CN"/>
        </w:rPr>
        <w:t>结论与总结</w:t>
      </w:r>
      <w:bookmarkEnd w:id="9"/>
    </w:p>
    <w:p w14:paraId="133A9F9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本次客户满意度调查结果表明，公司2025年上半年的运维服务整体上获得了客户的广泛认可，尤其在服务态度与响应速度方面表现突出，达到了年度质量目标。</w:t>
      </w:r>
    </w:p>
    <w:p w14:paraId="018E69A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调查同时揭示了在“沟通</w:t>
      </w:r>
      <w:r>
        <w:rPr>
          <w:rFonts w:hint="eastAsia"/>
          <w:lang w:val="en-US" w:eastAsia="zh-CN"/>
        </w:rPr>
        <w:t>协调</w:t>
      </w:r>
      <w:r>
        <w:rPr>
          <w:rFonts w:hint="default"/>
          <w:lang w:val="en-US" w:eastAsia="zh-CN"/>
        </w:rPr>
        <w:t>”方面存在的提升空间。针对识别出的不满意项与改进建议，质量管理部已协同数智运营部制定了明确的改进计划。</w:t>
      </w:r>
    </w:p>
    <w:p w14:paraId="677A0FA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由质量管理部和数智运营部加强监督，并由人力部对《满意度管理制度》和《沟通管理制度》进行宣贯</w:t>
      </w:r>
    </w:p>
    <w:p w14:paraId="248664C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下一步工作：</w:t>
      </w:r>
    </w:p>
    <w:p w14:paraId="7374BF9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将本报告及改进计划提交至管理评审会议。</w:t>
      </w:r>
    </w:p>
    <w:p w14:paraId="034280E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由质量管理部跟踪上述改进措施的实施进度与效果，并在年末的满意度调查中进行针对性回访与效果验证。</w:t>
      </w:r>
    </w:p>
    <w:p w14:paraId="0BF0BB4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将持续的客户声音反馈机制融入日常服务流程，变“定期调查”为“持续感知”，推动服务质量螺旋上升。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CE6CE">
    <w:pPr>
      <w:spacing w:line="232" w:lineRule="auto"/>
      <w:ind w:left="4345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z w:val="21"/>
        <w:szCs w:val="21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EF65E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AE500A6"/>
    <w:rsid w:val="35562A07"/>
    <w:rsid w:val="4A08272B"/>
    <w:rsid w:val="7D291748"/>
    <w:rsid w:val="7E1F68A4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1377</Words>
  <Characters>1594</Characters>
  <Lines>0</Lines>
  <Paragraphs>0</Paragraphs>
  <TotalTime>0</TotalTime>
  <ScaleCrop>false</ScaleCrop>
  <LinksUpToDate>false</LinksUpToDate>
  <CharactersWithSpaces>1617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2026-02-04T15:49:45Z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