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28EBAA">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526"/>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587A3051">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9003"/>
      <w:r>
        <w:rPr>
          <w:rFonts w:hint="eastAsia"/>
          <w:lang w:val="en-US" w:eastAsia="zh-CN"/>
        </w:rPr>
        <w:t>运维服务质量管理报告</w:t>
      </w:r>
      <w:bookmarkEnd w:id="1"/>
    </w:p>
    <w:p w14:paraId="346D228F">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17</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1DEFA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787322E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23961F1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21E26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37F63BC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9EC4A6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77D10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3BD452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5A6C35C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bl>
    <w:p w14:paraId="5ACD280E">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64B209CB">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68688E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391E4503">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05E0217A">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2D05ECCC">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03557F29">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08DC582A">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6B60E832">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5A3F0A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0491C788">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11.30</w:t>
            </w:r>
          </w:p>
        </w:tc>
        <w:tc>
          <w:tcPr>
            <w:tcW w:w="972" w:type="dxa"/>
          </w:tcPr>
          <w:p w14:paraId="2A977348">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29628F99">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53EB7EE7">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张翔</w:t>
            </w:r>
          </w:p>
        </w:tc>
        <w:tc>
          <w:tcPr>
            <w:tcW w:w="1606" w:type="dxa"/>
          </w:tcPr>
          <w:p w14:paraId="17A680E2">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1DD0B9F9">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3A9EC5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5F45BCE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59A8D7A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4FB24FC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2E2AA6F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6118592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05F4A3F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55A9DB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C690C0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0710EC1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59C95F7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5ABE179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2729BFC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6472BD5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0E897A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216D27C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617469D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050FA5A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19FB122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737DAD0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2BBF243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20C55309">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C02C090">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778A78A3">
          <w:pPr>
            <w:pStyle w:val="16"/>
            <w:tabs>
              <w:tab w:val="right" w:leader="dot" w:pos="8306"/>
            </w:tabs>
          </w:pPr>
          <w:bookmarkStart w:id="7" w:name="_GoBack"/>
          <w:bookmarkEnd w:id="7"/>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_Toc2526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_Toc2526 \h </w:instrText>
          </w:r>
          <w:r>
            <w:fldChar w:fldCharType="separate"/>
          </w:r>
          <w:r>
            <w:t>1</w:t>
          </w:r>
          <w:r>
            <w:fldChar w:fldCharType="end"/>
          </w:r>
          <w:r>
            <w:rPr>
              <w:rFonts w:hint="eastAsia" w:ascii="宋体" w:hAnsi="宋体" w:eastAsia="宋体" w:cs="宋体"/>
              <w:szCs w:val="24"/>
            </w:rPr>
            <w:fldChar w:fldCharType="end"/>
          </w:r>
        </w:p>
        <w:p w14:paraId="5DCAD2C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_Toc19003 </w:instrText>
          </w:r>
          <w:r>
            <w:rPr>
              <w:rFonts w:hint="eastAsia" w:ascii="宋体" w:hAnsi="宋体" w:eastAsia="宋体" w:cs="宋体"/>
              <w:szCs w:val="24"/>
            </w:rPr>
            <w:fldChar w:fldCharType="separate"/>
          </w:r>
          <w:r>
            <w:rPr>
              <w:rFonts w:hint="eastAsia"/>
              <w:lang w:val="en-US" w:eastAsia="zh-CN"/>
            </w:rPr>
            <w:t>运维服务质量管理报告</w:t>
          </w:r>
          <w:r>
            <w:tab/>
          </w:r>
          <w:r>
            <w:fldChar w:fldCharType="begin"/>
          </w:r>
          <w:r>
            <w:instrText xml:space="preserve"> PAGEREF _Toc19003 \h </w:instrText>
          </w:r>
          <w:r>
            <w:fldChar w:fldCharType="separate"/>
          </w:r>
          <w:r>
            <w:t>1</w:t>
          </w:r>
          <w:r>
            <w:fldChar w:fldCharType="end"/>
          </w:r>
          <w:r>
            <w:rPr>
              <w:rFonts w:hint="eastAsia" w:ascii="宋体" w:hAnsi="宋体" w:eastAsia="宋体" w:cs="宋体"/>
              <w:szCs w:val="24"/>
            </w:rPr>
            <w:fldChar w:fldCharType="end"/>
          </w:r>
        </w:p>
        <w:p w14:paraId="04CBA30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_Toc599 </w:instrText>
          </w:r>
          <w:r>
            <w:rPr>
              <w:rFonts w:hint="eastAsia" w:ascii="宋体" w:hAnsi="宋体" w:eastAsia="宋体" w:cs="宋体"/>
              <w:szCs w:val="24"/>
            </w:rPr>
            <w:fldChar w:fldCharType="separate"/>
          </w:r>
          <w:r>
            <w:rPr>
              <w:rFonts w:hint="default"/>
            </w:rPr>
            <w:t>1. 概述</w:t>
          </w:r>
          <w:r>
            <w:tab/>
          </w:r>
          <w:r>
            <w:fldChar w:fldCharType="begin"/>
          </w:r>
          <w:r>
            <w:instrText xml:space="preserve"> PAGEREF _Toc599 \h </w:instrText>
          </w:r>
          <w:r>
            <w:fldChar w:fldCharType="separate"/>
          </w:r>
          <w:r>
            <w:t>4</w:t>
          </w:r>
          <w:r>
            <w:fldChar w:fldCharType="end"/>
          </w:r>
          <w:r>
            <w:rPr>
              <w:rFonts w:hint="eastAsia" w:ascii="宋体" w:hAnsi="宋体" w:eastAsia="宋体" w:cs="宋体"/>
              <w:szCs w:val="24"/>
            </w:rPr>
            <w:fldChar w:fldCharType="end"/>
          </w:r>
        </w:p>
        <w:p w14:paraId="57E158D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_Toc29338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客户满意度</w:t>
          </w:r>
          <w:r>
            <w:tab/>
          </w:r>
          <w:r>
            <w:fldChar w:fldCharType="begin"/>
          </w:r>
          <w:r>
            <w:instrText xml:space="preserve"> PAGEREF _Toc29338 \h </w:instrText>
          </w:r>
          <w:r>
            <w:fldChar w:fldCharType="separate"/>
          </w:r>
          <w:r>
            <w:t>4</w:t>
          </w:r>
          <w:r>
            <w:fldChar w:fldCharType="end"/>
          </w:r>
          <w:r>
            <w:rPr>
              <w:rFonts w:hint="eastAsia" w:ascii="宋体" w:hAnsi="宋体" w:eastAsia="宋体" w:cs="宋体"/>
              <w:szCs w:val="24"/>
            </w:rPr>
            <w:fldChar w:fldCharType="end"/>
          </w:r>
        </w:p>
        <w:p w14:paraId="04D524F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_Toc2942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内审</w:t>
          </w:r>
          <w:r>
            <w:tab/>
          </w:r>
          <w:r>
            <w:fldChar w:fldCharType="begin"/>
          </w:r>
          <w:r>
            <w:instrText xml:space="preserve"> PAGEREF _Toc2942 \h </w:instrText>
          </w:r>
          <w:r>
            <w:fldChar w:fldCharType="separate"/>
          </w:r>
          <w:r>
            <w:t>4</w:t>
          </w:r>
          <w:r>
            <w:fldChar w:fldCharType="end"/>
          </w:r>
          <w:r>
            <w:rPr>
              <w:rFonts w:hint="eastAsia" w:ascii="宋体" w:hAnsi="宋体" w:eastAsia="宋体" w:cs="宋体"/>
              <w:szCs w:val="24"/>
            </w:rPr>
            <w:fldChar w:fldCharType="end"/>
          </w:r>
        </w:p>
        <w:p w14:paraId="70015E6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_Toc10618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管理评审</w:t>
          </w:r>
          <w:r>
            <w:tab/>
          </w:r>
          <w:r>
            <w:fldChar w:fldCharType="begin"/>
          </w:r>
          <w:r>
            <w:instrText xml:space="preserve"> PAGEREF _Toc10618 \h </w:instrText>
          </w:r>
          <w:r>
            <w:fldChar w:fldCharType="separate"/>
          </w:r>
          <w:r>
            <w:t>4</w:t>
          </w:r>
          <w:r>
            <w:fldChar w:fldCharType="end"/>
          </w:r>
          <w:r>
            <w:rPr>
              <w:rFonts w:hint="eastAsia" w:ascii="宋体" w:hAnsi="宋体" w:eastAsia="宋体" w:cs="宋体"/>
              <w:szCs w:val="24"/>
            </w:rPr>
            <w:fldChar w:fldCharType="end"/>
          </w:r>
        </w:p>
        <w:p w14:paraId="5A24296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_Toc25729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问题与改进</w:t>
          </w:r>
          <w:r>
            <w:tab/>
          </w:r>
          <w:r>
            <w:fldChar w:fldCharType="begin"/>
          </w:r>
          <w:r>
            <w:instrText xml:space="preserve"> PAGEREF _Toc25729 \h </w:instrText>
          </w:r>
          <w:r>
            <w:fldChar w:fldCharType="separate"/>
          </w:r>
          <w:r>
            <w:t>4</w:t>
          </w:r>
          <w:r>
            <w:fldChar w:fldCharType="end"/>
          </w:r>
          <w:r>
            <w:rPr>
              <w:rFonts w:hint="eastAsia" w:ascii="宋体" w:hAnsi="宋体" w:eastAsia="宋体" w:cs="宋体"/>
              <w:szCs w:val="24"/>
            </w:rPr>
            <w:fldChar w:fldCharType="end"/>
          </w:r>
        </w:p>
        <w:p w14:paraId="4674B27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639BDED">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D6CA408">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_Toc599"/>
      <w:r>
        <w:rPr>
          <w:rFonts w:hint="default"/>
        </w:rPr>
        <w:t>概述</w:t>
      </w:r>
      <w:bookmarkEnd w:id="2"/>
    </w:p>
    <w:p w14:paraId="2DBE70F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rPr>
        <w:t>为持续提升运维服务质量，根据《运维服务质量管理</w:t>
      </w:r>
      <w:r>
        <w:rPr>
          <w:rFonts w:hint="eastAsia"/>
          <w:lang w:val="en-US" w:eastAsia="zh-CN"/>
        </w:rPr>
        <w:t>制度</w:t>
      </w:r>
      <w:r>
        <w:rPr>
          <w:rFonts w:hint="default"/>
        </w:rPr>
        <w:t>》及年度运维服务质量管理计划的要求，本公司对202</w:t>
      </w:r>
      <w:r>
        <w:rPr>
          <w:rFonts w:hint="eastAsia"/>
          <w:lang w:val="en-US" w:eastAsia="zh-CN"/>
        </w:rPr>
        <w:t>5</w:t>
      </w:r>
      <w:r>
        <w:rPr>
          <w:rFonts w:hint="default"/>
        </w:rPr>
        <w:t>年</w:t>
      </w:r>
      <w:r>
        <w:rPr>
          <w:rFonts w:hint="eastAsia"/>
          <w:lang w:val="en-US" w:eastAsia="zh-CN"/>
        </w:rPr>
        <w:t>1</w:t>
      </w:r>
      <w:r>
        <w:rPr>
          <w:rFonts w:hint="default"/>
        </w:rPr>
        <w:t>月至</w:t>
      </w:r>
      <w:r>
        <w:rPr>
          <w:rFonts w:hint="eastAsia"/>
          <w:lang w:val="en-US" w:eastAsia="zh-CN"/>
        </w:rPr>
        <w:t>11月</w:t>
      </w:r>
      <w:r>
        <w:rPr>
          <w:rFonts w:hint="default"/>
        </w:rPr>
        <w:t>期间的运维服务质量度量数据与质量目标达成情况进行了系统梳理与分析。本报告旨在全面总结本阶段质量管理工作成效，识别存在的问题，并为下一阶段制定质量保证与改进计划提供明确的数据支持和决策依据。</w:t>
      </w:r>
    </w:p>
    <w:p w14:paraId="1B1EFEB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29338"/>
      <w:r>
        <w:rPr>
          <w:rFonts w:hint="eastAsia"/>
          <w:lang w:val="en-US" w:eastAsia="zh-CN"/>
        </w:rPr>
        <w:t>客户满意度</w:t>
      </w:r>
      <w:bookmarkEnd w:id="3"/>
    </w:p>
    <w:p w14:paraId="7093EC4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依据满意度管理制度，质量管理部在六月底进行了客户满意度调查，其中发放调查报告8份，收回8分。通过汇总分析得出，客户的满意度综合得分为97%，明显超过考核指标</w:t>
      </w:r>
    </w:p>
    <w:p w14:paraId="00B95E2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通过收集的满意度调查表分析得出，客户对沟通协调方面满意度较低，在下一阶段应加强客户满意度调查管理制度的培训。质量相关部门加强监督。</w:t>
      </w:r>
    </w:p>
    <w:p w14:paraId="180B709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2942"/>
      <w:r>
        <w:rPr>
          <w:rFonts w:hint="eastAsia"/>
          <w:lang w:val="en-US" w:eastAsia="zh-CN"/>
        </w:rPr>
        <w:t>内审</w:t>
      </w:r>
      <w:bookmarkEnd w:id="4"/>
    </w:p>
    <w:p w14:paraId="6A209A1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质量管理部于2025年11月10日制定了内审计划并编制了内审检查表。11月15-16两天进行了内审工作，发现了一项不符合，为一般不符合。由相关部门进行改进并加强培训工作，相关审核人员跟进改进结果。</w:t>
      </w:r>
    </w:p>
    <w:p w14:paraId="2981238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10618"/>
      <w:r>
        <w:rPr>
          <w:rFonts w:hint="eastAsia"/>
          <w:lang w:val="en-US" w:eastAsia="zh-CN"/>
        </w:rPr>
        <w:t>管理评审</w:t>
      </w:r>
      <w:bookmarkEnd w:id="5"/>
    </w:p>
    <w:p w14:paraId="279F74FE">
      <w:pPr>
        <w:pStyle w:val="27"/>
        <w:keepNext w:val="0"/>
        <w:keepLines w:val="0"/>
        <w:pageBreakBefore w:val="0"/>
        <w:widowControl w:val="0"/>
        <w:kinsoku w:val="0"/>
        <w:wordWrap/>
        <w:overflowPunct/>
        <w:topLinePunct w:val="0"/>
        <w:autoSpaceDE w:val="0"/>
        <w:autoSpaceDN w:val="0"/>
        <w:bidi w:val="0"/>
        <w:adjustRightInd w:val="0"/>
        <w:snapToGrid w:val="0"/>
        <w:spacing w:before="183" w:line="340" w:lineRule="auto"/>
        <w:ind w:left="118" w:right="129" w:firstLine="481"/>
        <w:textAlignment w:val="baseline"/>
        <w:rPr>
          <w:rFonts w:hint="default"/>
          <w:lang w:val="en-US" w:eastAsia="zh-CN"/>
        </w:rPr>
      </w:pPr>
      <w:r>
        <w:rPr>
          <w:rStyle w:val="42"/>
          <w:rFonts w:hint="eastAsia"/>
          <w:lang w:val="en-US" w:eastAsia="zh-CN"/>
        </w:rPr>
        <w:t>质量管理部于2025年11月13日制定了管理评审计划，于11月20日组织各运维相关部门进行了管理评审。</w:t>
      </w:r>
      <w:r>
        <w:rPr>
          <w:rStyle w:val="42"/>
        </w:rPr>
        <w:t>对本次管理评审公司各相关部门做了周密的安排，参加会议的各部门人员也做了充分的准备，对公司的运维管理目标进行了认真的评议，全面的总结了公司运维能力体系的运行情况</w:t>
      </w:r>
      <w:r>
        <w:rPr>
          <w:rStyle w:val="42"/>
          <w:rFonts w:hint="eastAsia"/>
        </w:rPr>
        <w:t>。</w:t>
      </w:r>
      <w:r>
        <w:rPr>
          <w:rStyle w:val="42"/>
          <w:rFonts w:hint="eastAsia"/>
          <w:lang w:val="en-US"/>
        </w:rPr>
        <w:t>肯定了2025年运维服务工作成果。</w:t>
      </w:r>
    </w:p>
    <w:p w14:paraId="1300FAA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5729"/>
      <w:r>
        <w:rPr>
          <w:rFonts w:hint="eastAsia"/>
          <w:lang w:val="en-US" w:eastAsia="zh-CN"/>
        </w:rPr>
        <w:t>问题与改进</w:t>
      </w:r>
      <w:bookmarkEnd w:id="6"/>
    </w:p>
    <w:p w14:paraId="4C9F3C5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数智运营部</w:t>
      </w:r>
      <w:r>
        <w:t>人员对ITSS相关标准的理解不够深刻，可能导致部分潜在问题，给体系的运行造成一定的制约和影响。</w:t>
      </w:r>
    </w:p>
    <w:p w14:paraId="7ED4F33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部分质量</w:t>
      </w:r>
      <w:r>
        <w:rPr>
          <w:rFonts w:hint="eastAsia"/>
          <w:lang w:val="en-US" w:eastAsia="zh-CN"/>
        </w:rPr>
        <w:t>管理专员</w:t>
      </w:r>
      <w:r>
        <w:t>缺少信息系统运维服务业务的专业知识，对业务的认识和理解不够，给运维项目的质量管理带来一定的困难。</w:t>
      </w:r>
    </w:p>
    <w:p w14:paraId="3FD99BC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数智运营部在进行</w:t>
      </w:r>
      <w:r>
        <w:t>项目策划时，缺少对运维项目风险的识别、分析、评估等策划。</w:t>
      </w:r>
    </w:p>
    <w:p w14:paraId="57DD171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针对存在的问题，下一阶段公司计划通过采取以下方式进行改进：</w:t>
      </w:r>
    </w:p>
    <w:p w14:paraId="328741D1">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通过外聘讲师、参加外训、内部知识竞赛、内部讨论会等的培训方式，使质量管理人员对 ITSS 相关标准有更深刻的理解了认识,以便更好的指导质量工作。</w:t>
      </w:r>
    </w:p>
    <w:p w14:paraId="7A9728E9">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邀请公司数智运营部相关运维工程师，对</w:t>
      </w:r>
      <w:r>
        <w:rPr>
          <w:rFonts w:hint="eastAsia"/>
          <w:lang w:val="en-US" w:eastAsia="zh-CN"/>
        </w:rPr>
        <w:t>质量管理专员</w:t>
      </w:r>
      <w:r>
        <w:t>进行运维业务的培训、</w:t>
      </w:r>
      <w:r>
        <w:rPr>
          <w:rFonts w:hint="eastAsia"/>
          <w:lang w:val="en-US" w:eastAsia="zh-CN"/>
        </w:rPr>
        <w:t>质量管理专员</w:t>
      </w:r>
      <w:r>
        <w:t>也应深入到运维项目实施中，一方面了解具体业务的处理，一方面可以学习运维相关业务知识。</w:t>
      </w:r>
    </w:p>
    <w:p w14:paraId="09B37020">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t>将运维项目质量风险策划做为质量管理的重点之一，并纳入质量</w:t>
      </w:r>
      <w:r>
        <w:rPr>
          <w:rFonts w:hint="eastAsia"/>
          <w:lang w:val="en-US" w:eastAsia="zh-CN"/>
        </w:rPr>
        <w:t>管理</w:t>
      </w:r>
      <w:r>
        <w:t>专员绩效考核。</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970D2">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0D941552"/>
    <w:multiLevelType w:val="singleLevel"/>
    <w:tmpl w:val="0D941552"/>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04E6E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1040</Words>
  <Characters>1140</Characters>
  <Lines>0</Lines>
  <Paragraphs>0</Paragraphs>
  <TotalTime>0</TotalTime>
  <ScaleCrop>false</ScaleCrop>
  <LinksUpToDate>false</LinksUpToDate>
  <CharactersWithSpaces>1168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2026-02-04T03:47:00Z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