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6136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08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2144605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004"/>
      <w:bookmarkStart w:id="2" w:name="_Toc23747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 w14:paraId="6A5EB18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956AB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649522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040854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1BB9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27C2C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C3F63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12B5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FF291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3670C7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6934C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FC5CD9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62451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D9BBF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47DB4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6ACEC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D5429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1E71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347676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57B97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988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0455F9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008DB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637BAB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7EE392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8F012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E8B95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5D6E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E9A14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E3B73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D8AE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41B81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FC470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15744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01901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E659E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952AE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EA687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47ED3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562DF3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1C0305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83B23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7DCE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1BEBC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9E282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94B63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A5126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F31D0D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092912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B4CF739">
          <w:pPr>
            <w:pStyle w:val="16"/>
            <w:tabs>
              <w:tab w:val="right" w:leader="dot" w:pos="8306"/>
            </w:tabs>
          </w:pPr>
          <w:bookmarkStart w:id="20" w:name="_GoBack"/>
          <w:bookmarkEnd w:id="2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_Toc22080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3F129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_Toc23747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AB7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目的与作用</w:t>
          </w:r>
          <w:r>
            <w:tab/>
          </w:r>
          <w:r>
            <w:fldChar w:fldCharType="begin"/>
          </w:r>
          <w:r>
            <w:instrText xml:space="preserve"> PAGEREF _Toc25827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981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管理职责</w:t>
          </w:r>
          <w:r>
            <w:tab/>
          </w:r>
          <w:r>
            <w:fldChar w:fldCharType="begin"/>
          </w:r>
          <w:r>
            <w:instrText xml:space="preserve"> PAGEREF _Toc14585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12A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_Toc30984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CE08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公司管理层</w:t>
          </w:r>
          <w:r>
            <w:tab/>
          </w:r>
          <w:r>
            <w:fldChar w:fldCharType="begin"/>
          </w:r>
          <w:r>
            <w:instrText xml:space="preserve"> PAGEREF _Toc16087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6155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_Toc27307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F637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招聘工作管理原则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B07E7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招聘计划与需求管理</w:t>
          </w:r>
          <w:r>
            <w:tab/>
          </w:r>
          <w:r>
            <w:fldChar w:fldCharType="begin"/>
          </w:r>
          <w:r>
            <w:instrText xml:space="preserve"> PAGEREF _Toc29950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761A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需求提报</w:t>
          </w:r>
          <w:r>
            <w:tab/>
          </w:r>
          <w:r>
            <w:fldChar w:fldCharType="begin"/>
          </w:r>
          <w:r>
            <w:instrText xml:space="preserve"> PAGEREF _Toc5997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8DC1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计划制定与审批</w:t>
          </w:r>
          <w:r>
            <w:tab/>
          </w:r>
          <w:r>
            <w:fldChar w:fldCharType="begin"/>
          </w:r>
          <w:r>
            <w:instrText xml:space="preserve"> PAGEREF _Toc2743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981B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招聘实施流程</w:t>
          </w:r>
          <w:r>
            <w:tab/>
          </w:r>
          <w:r>
            <w:fldChar w:fldCharType="begin"/>
          </w:r>
          <w:r>
            <w:instrText xml:space="preserve"> PAGEREF _Toc30343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6F34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录用、审批与入职</w:t>
          </w:r>
          <w:r>
            <w:tab/>
          </w:r>
          <w:r>
            <w:fldChar w:fldCharType="begin"/>
          </w:r>
          <w:r>
            <w:instrText xml:space="preserve"> PAGEREF _Toc8641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7BC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录用决策与审批</w:t>
          </w:r>
          <w:r>
            <w:tab/>
          </w:r>
          <w:r>
            <w:fldChar w:fldCharType="begin"/>
          </w:r>
          <w:r>
            <w:instrText xml:space="preserve"> PAGEREF _Toc21760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DB4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入职报到手续</w:t>
          </w:r>
          <w:r>
            <w:tab/>
          </w:r>
          <w:r>
            <w:fldChar w:fldCharType="begin"/>
          </w:r>
          <w:r>
            <w:instrText xml:space="preserve"> PAGEREF _Toc22956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558B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入职引导与培训</w:t>
          </w:r>
          <w:r>
            <w:tab/>
          </w:r>
          <w:r>
            <w:fldChar w:fldCharType="begin"/>
          </w:r>
          <w:r>
            <w:instrText xml:space="preserve"> PAGEREF _Toc30945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380D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试用期与转正管理</w:t>
          </w:r>
          <w:r>
            <w:tab/>
          </w:r>
          <w:r>
            <w:fldChar w:fldCharType="begin"/>
          </w:r>
          <w:r>
            <w:instrText xml:space="preserve"> PAGEREF _Toc14916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672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_Toc25860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FB08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_Toc29753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附则</w:t>
          </w:r>
          <w:r>
            <w:tab/>
          </w:r>
          <w:r>
            <w:fldChar w:fldCharType="begin"/>
          </w:r>
          <w:r>
            <w:instrText xml:space="preserve"> PAGEREF _Toc29753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A6A3F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B4CCF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9A5A5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5827"/>
      <w:r>
        <w:rPr>
          <w:rFonts w:hint="default"/>
          <w:lang w:val="en-US" w:eastAsia="zh-CN"/>
        </w:rPr>
        <w:t>目的与作用</w:t>
      </w:r>
      <w:bookmarkEnd w:id="3"/>
    </w:p>
    <w:p w14:paraId="5804D6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招聘活动，建立科学、公开、公平、公正的人才选拔与引进机制，确保为公司软件运维服务业务持续、高效地吸纳与配置符合岗位要求、认同企业文化的专业人才，保障公司发展战略与业务目标的实现，特制定本制度。</w:t>
      </w:r>
    </w:p>
    <w:p w14:paraId="0590C6B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4585"/>
      <w:r>
        <w:rPr>
          <w:rFonts w:hint="default"/>
          <w:lang w:val="en-US" w:eastAsia="zh-CN"/>
        </w:rPr>
        <w:t>管理职责</w:t>
      </w:r>
      <w:bookmarkEnd w:id="4"/>
    </w:p>
    <w:p w14:paraId="27D12B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0984"/>
      <w:r>
        <w:rPr>
          <w:rFonts w:hint="default"/>
          <w:lang w:val="en-US" w:eastAsia="zh-CN"/>
        </w:rPr>
        <w:t>人力部</w:t>
      </w:r>
      <w:bookmarkEnd w:id="5"/>
    </w:p>
    <w:p w14:paraId="5F58DA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负责本制度的制定、修订与解释。</w:t>
      </w:r>
    </w:p>
    <w:p w14:paraId="059F47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负责审核各部门招聘需求，制定公司年度/月度招聘计划及预算。</w:t>
      </w:r>
    </w:p>
    <w:p w14:paraId="0B0E96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负责开拓、维护各类招聘渠道，组织实施招聘活动（信息发布、简历收集与筛选、面试安排等）。</w:t>
      </w:r>
    </w:p>
    <w:p w14:paraId="27C4DF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负责组织公司级面试（初试），协调复试，办理录用审批、入职手续及背景调查。</w:t>
      </w:r>
    </w:p>
    <w:p w14:paraId="2F623D6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负责建立和维护招聘过程记录及人才储备库。</w:t>
      </w:r>
    </w:p>
    <w:p w14:paraId="12B785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各用人部门（数智运营部、研究总院、质量管理部、应急管理部等）：</w:t>
      </w:r>
    </w:p>
    <w:p w14:paraId="1D5A43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负责根据业务发展提报本部门人员需求。</w:t>
      </w:r>
    </w:p>
    <w:p w14:paraId="77BFDB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负责明确招聘岗位的详细职责、任职资格与能力要求。</w:t>
      </w:r>
    </w:p>
    <w:p w14:paraId="6CAC94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负责主导专业面试（复试），对应聘者的专业能力、技能水平及岗位匹配度进行评估。</w:t>
      </w:r>
    </w:p>
    <w:p w14:paraId="30D0AE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负责新员工入职后的部门级岗前培训与工作安排。</w:t>
      </w:r>
    </w:p>
    <w:p w14:paraId="228ACEE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087"/>
      <w:r>
        <w:rPr>
          <w:rFonts w:hint="default"/>
          <w:lang w:val="en-US" w:eastAsia="zh-CN"/>
        </w:rPr>
        <w:t>公司管理层</w:t>
      </w:r>
      <w:bookmarkEnd w:id="6"/>
    </w:p>
    <w:p w14:paraId="3C5152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负责审批年度/重要招聘计划与预算。</w:t>
      </w:r>
    </w:p>
    <w:p w14:paraId="404994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负责对关键岗位的最终录用进行审批。</w:t>
      </w:r>
    </w:p>
    <w:p w14:paraId="75F092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27307"/>
      <w:r>
        <w:rPr>
          <w:rFonts w:hint="eastAsia"/>
          <w:lang w:val="en-US" w:eastAsia="zh-CN"/>
        </w:rPr>
        <w:t>其他运维相关部门</w:t>
      </w:r>
      <w:bookmarkEnd w:id="7"/>
    </w:p>
    <w:p w14:paraId="39825D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根据运维需要提交用人计划和用人要求</w:t>
      </w:r>
    </w:p>
    <w:p w14:paraId="0409C38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473"/>
      <w:r>
        <w:rPr>
          <w:rFonts w:hint="default"/>
          <w:lang w:val="en-US" w:eastAsia="zh-CN"/>
        </w:rPr>
        <w:t>招聘工作管理原则</w:t>
      </w:r>
      <w:bookmarkEnd w:id="8"/>
    </w:p>
    <w:p w14:paraId="57F57F1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计划性原则：招聘活动应基于公司战略与业务规划，以部门人员编制和实际需求为依据，有计划地进行，避免盲目招聘。</w:t>
      </w:r>
    </w:p>
    <w:p w14:paraId="213DD2A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公开公平原则：招聘信息应公开透明，选拔过程应公平、公正，为所有应聘者提供平等竞争的机会。</w:t>
      </w:r>
    </w:p>
    <w:p w14:paraId="11536B8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人岗匹配原则：以岗位实际需求为出发点，重点考察应聘者的专业知识、技能、综合素质与岗位要求的匹配度。</w:t>
      </w:r>
    </w:p>
    <w:p w14:paraId="2556E02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择优录用原则：在符合任职资格的基础上，综合评估应聘者的能力、潜力和价值观，择优录用。</w:t>
      </w:r>
    </w:p>
    <w:p w14:paraId="0FC0AE3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成本效率原则：合理选择招聘渠道与方法，控制招聘成本，提高招聘效率与质量。</w:t>
      </w:r>
    </w:p>
    <w:p w14:paraId="032D463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29950"/>
      <w:r>
        <w:rPr>
          <w:rFonts w:hint="default"/>
          <w:lang w:val="en-US" w:eastAsia="zh-CN"/>
        </w:rPr>
        <w:t>招聘计划与需求管理</w:t>
      </w:r>
      <w:bookmarkEnd w:id="9"/>
    </w:p>
    <w:p w14:paraId="39948F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5997"/>
      <w:r>
        <w:rPr>
          <w:rFonts w:hint="default"/>
          <w:lang w:val="en-US" w:eastAsia="zh-CN"/>
        </w:rPr>
        <w:t>需求提报</w:t>
      </w:r>
      <w:bookmarkEnd w:id="10"/>
    </w:p>
    <w:p w14:paraId="63E5D4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各部门根据业务规划、项目立项或人员缺口，填写《人员需求申请表》，说明需求原因、岗位名称、人数、到岗时间及详细的任职要求。</w:t>
      </w:r>
    </w:p>
    <w:p w14:paraId="3AD17C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需求提报应具有前瞻性，通常应提前一个月提交至人力部。</w:t>
      </w:r>
    </w:p>
    <w:p w14:paraId="7A2A816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743"/>
      <w:r>
        <w:rPr>
          <w:rFonts w:hint="default"/>
          <w:lang w:val="en-US" w:eastAsia="zh-CN"/>
        </w:rPr>
        <w:t>计划制定与审批</w:t>
      </w:r>
      <w:bookmarkEnd w:id="11"/>
    </w:p>
    <w:p w14:paraId="186F51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人力部汇总审核各部门需求，结合公司人力资源规划、预算及市场情况，制定《招聘计划》。</w:t>
      </w:r>
    </w:p>
    <w:p w14:paraId="15371E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《招聘计划》应包括招聘岗位、人数、渠道、预算、时间表等内容，报公司领导审批后执行。</w:t>
      </w:r>
    </w:p>
    <w:p w14:paraId="20941E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对于突发性或临时性需求，可按紧急流程进行专项审批。</w:t>
      </w:r>
    </w:p>
    <w:p w14:paraId="50192A0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0343"/>
      <w:r>
        <w:rPr>
          <w:rFonts w:hint="default"/>
          <w:lang w:val="en-US" w:eastAsia="zh-CN"/>
        </w:rPr>
        <w:t>招聘实施流程</w:t>
      </w:r>
      <w:bookmarkEnd w:id="12"/>
    </w:p>
    <w:p w14:paraId="7CE0BA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渠道选择与信息发布： 人力部根据岗位特性，选择网络平台、校园招聘、内部推荐、行业招聘会等渠道发布招聘信息。</w:t>
      </w:r>
    </w:p>
    <w:p w14:paraId="22AC8E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简历收集与筛选：</w:t>
      </w:r>
    </w:p>
    <w:p w14:paraId="469C2D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人力部统一接收应聘简历，进行初步筛选，剔除明显不符合基本条件者。</w:t>
      </w:r>
    </w:p>
    <w:p w14:paraId="1053E4B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将初步筛选后的简历提交至用人部门进行专业资格复审，共同确定面试候选人名单。</w:t>
      </w:r>
    </w:p>
    <w:p w14:paraId="0E26E3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面试组织与评估：</w:t>
      </w:r>
    </w:p>
    <w:p w14:paraId="4050CD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初试：通常由人力部组织，主要考察应聘者的综合素质、求职动机、职业规划、薪酬期望及与公司文化的契合度。</w:t>
      </w:r>
    </w:p>
    <w:p w14:paraId="7EC88A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复试（专业面试）：由用人部门主导，可包含笔试、技能实操、案例讨论等形式，深入考察专业能力、解决问题能力及团队协作潜力。面试官需填写《面试评估表》。</w:t>
      </w:r>
    </w:p>
    <w:p w14:paraId="5D72EB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对于关键岗位，可安排多轮面试或由公司高层领导参与终面。</w:t>
      </w:r>
    </w:p>
    <w:p w14:paraId="2613B89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背景调查：对拟录用的候选人，经其同意后，人力部可对其学历、工作经历等信息进行必要的核实。</w:t>
      </w:r>
    </w:p>
    <w:p w14:paraId="4EDC739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8641"/>
      <w:r>
        <w:rPr>
          <w:rFonts w:hint="default"/>
          <w:lang w:val="en-US" w:eastAsia="zh-CN"/>
        </w:rPr>
        <w:t>录用、审批与入职</w:t>
      </w:r>
      <w:bookmarkEnd w:id="13"/>
    </w:p>
    <w:p w14:paraId="73D4945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1760"/>
      <w:r>
        <w:rPr>
          <w:rFonts w:hint="default"/>
          <w:lang w:val="en-US" w:eastAsia="zh-CN"/>
        </w:rPr>
        <w:t>录用决策与审批</w:t>
      </w:r>
      <w:bookmarkEnd w:id="14"/>
    </w:p>
    <w:p w14:paraId="3F5939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人力部综合面试评估结果，与用人部门协商确定建议录用人选及薪酬方案。</w:t>
      </w:r>
    </w:p>
    <w:p w14:paraId="18F783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填写《员工录用审批表》，附面试评估记录，按权限报批。</w:t>
      </w:r>
    </w:p>
    <w:p w14:paraId="089341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录用通知： 审批通过后，人力部向被录用者发放书面或电子版《录用通知书》，明确岗位、薪酬、报到时间、地点及所需材料。</w:t>
      </w:r>
    </w:p>
    <w:p w14:paraId="1C2CAA9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2956"/>
      <w:r>
        <w:rPr>
          <w:rFonts w:hint="default"/>
          <w:lang w:val="en-US" w:eastAsia="zh-CN"/>
        </w:rPr>
        <w:t>入职报到手续</w:t>
      </w:r>
      <w:bookmarkEnd w:id="15"/>
    </w:p>
    <w:p w14:paraId="22D150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新员工按期至人力部报到，提交身份证、学历学位证、资格证书等原件及复印件。</w:t>
      </w:r>
    </w:p>
    <w:p w14:paraId="7CB169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签订《劳动合同》、《保密协议》等法律文件。</w:t>
      </w:r>
    </w:p>
    <w:p w14:paraId="4021474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人力部进行入职登记，介绍公司基本规章制度、考勤方式，发放办公用品，安排办公位置。</w:t>
      </w:r>
    </w:p>
    <w:p w14:paraId="021057D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945"/>
      <w:r>
        <w:rPr>
          <w:rFonts w:hint="default"/>
          <w:lang w:val="en-US" w:eastAsia="zh-CN"/>
        </w:rPr>
        <w:t>入职引导与培训</w:t>
      </w:r>
      <w:bookmarkEnd w:id="16"/>
    </w:p>
    <w:p w14:paraId="1FFBB8A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人力部组织公司级入职培训（公司概况、文化、制度、安全等）。</w:t>
      </w:r>
    </w:p>
    <w:p w14:paraId="7F17C8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用人部门负责部门级岗前培训，指定导师，介绍岗位职责、工作流程、团队情况及相关业务知识。</w:t>
      </w:r>
    </w:p>
    <w:p w14:paraId="2473F8A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4916"/>
      <w:r>
        <w:rPr>
          <w:rFonts w:hint="default"/>
          <w:lang w:val="en-US" w:eastAsia="zh-CN"/>
        </w:rPr>
        <w:t>试用期与转正管理</w:t>
      </w:r>
      <w:bookmarkEnd w:id="17"/>
    </w:p>
    <w:p w14:paraId="56254E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试用期规定： 新员工均设试用期，期限依据《劳动合同法》及劳动合同约定执行，通常为1-3个月。</w:t>
      </w:r>
    </w:p>
    <w:p w14:paraId="6C1CEF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试用期考核：</w:t>
      </w:r>
    </w:p>
    <w:p w14:paraId="19F2812A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试用期满前，由人力部发起转正流程。</w:t>
      </w:r>
    </w:p>
    <w:p w14:paraId="671A56A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用人部门对新员工试用期工作表现进行全面评估，填写《试用期考核表》。</w:t>
      </w:r>
    </w:p>
    <w:p w14:paraId="242240C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考核内容应包括工作态度、能力体现、任务完成情况及文化融入度。</w:t>
      </w:r>
    </w:p>
    <w:p w14:paraId="5FB8EE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转正审批：</w:t>
      </w:r>
    </w:p>
    <w:p w14:paraId="1FF5113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考核合格者，办理正式转正手续，确定转正后薪酬福利。</w:t>
      </w:r>
    </w:p>
    <w:p w14:paraId="57DF747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考核不合格者，可根据实际情况依法解除劳动关系，或协商调整岗位、延长试用期。</w:t>
      </w:r>
    </w:p>
    <w:p w14:paraId="54AEE40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5860"/>
      <w:r>
        <w:rPr>
          <w:rFonts w:hint="eastAsia"/>
          <w:lang w:val="en-US" w:eastAsia="zh-CN"/>
        </w:rPr>
        <w:t>考核指标</w:t>
      </w:r>
      <w:bookmarkEnd w:id="18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52FDD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3E35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4FA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78DF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5BC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7BE2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20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招聘计划达成率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35C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573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实际聘用人数/计划招聘人数*100%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79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112DC5F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9753"/>
      <w:r>
        <w:rPr>
          <w:rFonts w:hint="default"/>
          <w:lang w:val="en-US" w:eastAsia="zh-CN"/>
        </w:rPr>
        <w:t>附则</w:t>
      </w:r>
      <w:bookmarkEnd w:id="19"/>
    </w:p>
    <w:p w14:paraId="5ED4007A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本制度由人力部负责解释与修订。</w:t>
      </w:r>
    </w:p>
    <w:p w14:paraId="0ABF51B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本制度自发布之日起生效，原相关规定与之冲突的，以本制度为准。</w:t>
      </w:r>
    </w:p>
    <w:p w14:paraId="659D233F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本制度涉及的相关记录表单（《人员需求申请表》、《面试评估表》、《员工录用审批表》、《试用期考核表》等）由人力部负责设计与管理。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ED599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0804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DCAE17"/>
    <w:multiLevelType w:val="singleLevel"/>
    <w:tmpl w:val="99DCAE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0CE53C"/>
    <w:multiLevelType w:val="singleLevel"/>
    <w:tmpl w:val="B80CE53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41C6DB7"/>
    <w:multiLevelType w:val="singleLevel"/>
    <w:tmpl w:val="C41C6D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61C73BA"/>
    <w:multiLevelType w:val="singleLevel"/>
    <w:tmpl w:val="261C7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34F6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2157</Words>
  <Characters>2254</Characters>
  <Lines>0</Lines>
  <Paragraphs>0</Paragraphs>
  <TotalTime>0</TotalTime>
  <ScaleCrop>false</ScaleCrop>
  <LinksUpToDate>false</LinksUpToDate>
  <CharactersWithSpaces>2331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2026-02-04T16:05:44Z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