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7873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1118"/>
      <w:r>
        <w:rPr>
          <w:rFonts w:hint="eastAsia"/>
          <w:lang w:val="en-US" w:eastAsia="zh-CN"/>
        </w:rPr>
        <w:t>人员工作交接管理制度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8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200"/>
                <w:kern w:val="0"/>
                <w:sz w:val="20"/>
                <w:szCs w:val="20"/>
                <w:lang w:val="en-US" w:eastAsia="zh-CN"/>
              </w:rPr>
              <w:t>陈</w:t>
            </w: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萍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_Toc27873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_Toc27873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_Toc11118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_Toc11118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_Toc28333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_Toc28333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_Toc29165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_Toc29165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_Toc25641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_Toc25641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_Toc12463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责任主体</w:t>
          </w:r>
          <w:r>
            <w:tab/>
          </w:r>
          <w:r>
            <w:fldChar w:fldCharType="begin"/>
          </w:r>
          <w:r>
            <w:instrText xml:space="preserve"> PAGEREF _Toc12463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_Toc23513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工作交接内容</w:t>
          </w:r>
          <w:r>
            <w:tab/>
          </w:r>
          <w:r>
            <w:fldChar w:fldCharType="begin"/>
          </w:r>
          <w:r>
            <w:instrText xml:space="preserve"> PAGEREF _Toc23513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_Toc30935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业务工作交接</w:t>
          </w:r>
          <w:r>
            <w:tab/>
          </w:r>
          <w:r>
            <w:fldChar w:fldCharType="begin"/>
          </w:r>
          <w:r>
            <w:instrText xml:space="preserve"> PAGEREF _Toc30935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_Toc5212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公司物品交接</w:t>
          </w:r>
          <w:r>
            <w:tab/>
          </w:r>
          <w:r>
            <w:fldChar w:fldCharType="begin"/>
          </w:r>
          <w:r>
            <w:instrText xml:space="preserve"> PAGEREF _Toc5212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_Toc16509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工作交接程序</w:t>
          </w:r>
          <w:r>
            <w:tab/>
          </w:r>
          <w:r>
            <w:fldChar w:fldCharType="begin"/>
          </w:r>
          <w:r>
            <w:instrText xml:space="preserve"> PAGEREF _Toc16509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_Toc32122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交接启动</w:t>
          </w:r>
          <w:r>
            <w:tab/>
          </w:r>
          <w:r>
            <w:fldChar w:fldCharType="begin"/>
          </w:r>
          <w:r>
            <w:instrText xml:space="preserve"> PAGEREF _Toc32122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准备工作</w:t>
          </w:r>
          <w:r>
            <w:tab/>
          </w:r>
          <w:r>
            <w:fldChar w:fldCharType="begin"/>
          </w:r>
          <w:r>
            <w:instrText xml:space="preserve"> PAGEREF _Toc2585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_Toc17001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审核与调整</w:t>
          </w:r>
          <w:r>
            <w:tab/>
          </w:r>
          <w:r>
            <w:fldChar w:fldCharType="begin"/>
          </w:r>
          <w:r>
            <w:instrText xml:space="preserve"> PAGEREF _Toc17001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_Toc17434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现场交接与确认</w:t>
          </w:r>
          <w:r>
            <w:tab/>
          </w:r>
          <w:r>
            <w:fldChar w:fldCharType="begin"/>
          </w:r>
          <w:r>
            <w:instrText xml:space="preserve"> PAGEREF _Toc17434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_Toc12179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3.5. 系统权限与IT资产交接</w:t>
          </w:r>
          <w:r>
            <w:tab/>
          </w:r>
          <w:r>
            <w:fldChar w:fldCharType="begin"/>
          </w:r>
          <w:r>
            <w:instrText xml:space="preserve"> PAGEREF _Toc12179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3.6. 存档备案</w:t>
          </w:r>
          <w:r>
            <w:tab/>
          </w:r>
          <w:r>
            <w:fldChar w:fldCharType="begin"/>
          </w:r>
          <w:r>
            <w:instrText xml:space="preserve"> PAGEREF _Toc2613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_Toc5916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工作交接要求</w:t>
          </w:r>
          <w:r>
            <w:tab/>
          </w:r>
          <w:r>
            <w:fldChar w:fldCharType="begin"/>
          </w:r>
          <w:r>
            <w:instrText xml:space="preserve"> PAGEREF _Toc5916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_Toc32308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接收人指定</w:t>
          </w:r>
          <w:r>
            <w:tab/>
          </w:r>
          <w:r>
            <w:fldChar w:fldCharType="begin"/>
          </w:r>
          <w:r>
            <w:instrText xml:space="preserve"> PAGEREF _Toc32308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_Toc13043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交接时限</w:t>
          </w:r>
          <w:r>
            <w:tab/>
          </w:r>
          <w:r>
            <w:fldChar w:fldCharType="begin"/>
          </w:r>
          <w:r>
            <w:instrText xml:space="preserve"> PAGEREF _Toc13043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_Toc23637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特殊情况处理</w:t>
          </w:r>
          <w:r>
            <w:tab/>
          </w:r>
          <w:r>
            <w:fldChar w:fldCharType="begin"/>
          </w:r>
          <w:r>
            <w:instrText xml:space="preserve"> PAGEREF _Toc23637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_Toc14402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离职关联</w:t>
          </w:r>
          <w:r>
            <w:tab/>
          </w:r>
          <w:r>
            <w:fldChar w:fldCharType="begin"/>
          </w:r>
          <w:r>
            <w:instrText xml:space="preserve"> PAGEREF _Toc14402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_Toc20337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监督与考核</w:t>
          </w:r>
          <w:r>
            <w:tab/>
          </w:r>
          <w:r>
            <w:fldChar w:fldCharType="begin"/>
          </w:r>
          <w:r>
            <w:instrText xml:space="preserve"> PAGEREF _Toc20337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_Toc12143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部门责任制</w:t>
          </w:r>
          <w:r>
            <w:tab/>
          </w:r>
          <w:r>
            <w:fldChar w:fldCharType="begin"/>
          </w:r>
          <w:r>
            <w:instrText xml:space="preserve"> PAGEREF _Toc12143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_Toc27523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追究情形</w:t>
          </w:r>
          <w:r>
            <w:tab/>
          </w:r>
          <w:r>
            <w:fldChar w:fldCharType="begin"/>
          </w:r>
          <w:r>
            <w:instrText xml:space="preserve"> PAGEREF _Toc27523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_Toc32013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附则</w:t>
          </w:r>
          <w:r>
            <w:tab/>
          </w:r>
          <w:r>
            <w:fldChar w:fldCharType="begin"/>
          </w:r>
          <w:r>
            <w:instrText xml:space="preserve"> PAGEREF _Toc32013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28333"/>
      <w:r>
        <w:rPr>
          <w:rFonts w:hint="default"/>
          <w:lang w:val="en-US" w:eastAsia="zh-CN"/>
        </w:rPr>
        <w:t>总则</w:t>
      </w:r>
      <w:bookmarkEnd w:id="3"/>
    </w:p>
    <w:p>
      <w:pPr>
        <w:pStyle w:val="2"/>
        <w:bidi w:val="0"/>
        <w:rPr>
          <w:rFonts w:hint="default"/>
          <w:lang w:val="en-US" w:eastAsia="zh-CN"/>
        </w:rPr>
      </w:pPr>
      <w:bookmarkStart w:id="4" w:name="_Toc29165"/>
      <w:r>
        <w:rPr>
          <w:rFonts w:hint="default"/>
          <w:lang w:val="en-US" w:eastAsia="zh-CN"/>
        </w:rPr>
        <w:t>目的</w:t>
      </w:r>
      <w:bookmarkEnd w:id="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内部工作交接流程，确保员工在岗位变动、长期请假或离职时，各项工作、资料、权限及资产得以清晰、完整、顺利地移交，保障公司软件运维服务业务的连续性和稳定性，防范因交接不清导致的运营风险与知识资产流失，特制定本办法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" w:name="_Toc25641"/>
      <w:r>
        <w:rPr>
          <w:rFonts w:hint="default"/>
          <w:lang w:val="en-US" w:eastAsia="zh-CN"/>
        </w:rPr>
        <w:t>适用范围</w:t>
      </w:r>
      <w:bookmarkEnd w:id="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本办法适用于公司全体员工因下列情形发生的工作交接：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岗位调动：在公司内部发生岗位或部门变动。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长期请假：连续请假时间预计超过5个工作日（含）。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离职：包括辞职、辞退、合同终止等所有劳动关系解除的情况。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其他：经公司认定的其他需要办理工作交接的情形。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" w:name="_Toc12463"/>
      <w:r>
        <w:rPr>
          <w:rFonts w:hint="default"/>
          <w:lang w:val="en-US" w:eastAsia="zh-CN"/>
        </w:rPr>
        <w:t>责任主体</w:t>
      </w:r>
      <w:bookmarkEnd w:id="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工作交接的主要责任主体包括：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移交人：即将离岗或离任的员工，负责梳理并交付所承担的工作与物品。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接收人：接替工作的员工或部门指定的临时负责人，负责接收并确认交接内容。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监督人：移交人的直接上级（部门负责人或指定经理），负责组织、监督并审核整个交接过程。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23513"/>
      <w:r>
        <w:rPr>
          <w:rFonts w:hint="default"/>
          <w:lang w:val="en-US" w:eastAsia="zh-CN"/>
        </w:rPr>
        <w:t>工作交接内容</w:t>
      </w:r>
      <w:bookmarkEnd w:id="7"/>
    </w:p>
    <w:p>
      <w:pPr>
        <w:pStyle w:val="2"/>
        <w:bidi w:val="0"/>
        <w:rPr>
          <w:rFonts w:hint="default"/>
          <w:lang w:val="en-US" w:eastAsia="zh-CN"/>
        </w:rPr>
      </w:pPr>
      <w:bookmarkStart w:id="8" w:name="_Toc30935"/>
      <w:r>
        <w:rPr>
          <w:rFonts w:hint="default"/>
          <w:lang w:val="en-US" w:eastAsia="zh-CN"/>
        </w:rPr>
        <w:t>业务工作交接</w:t>
      </w:r>
      <w:bookmarkEnd w:id="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岗位职责与工作任务：明确本岗位的核心职责、当前负责的运维项目、服务客户、日常任务及进度状态。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文件与资料：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纸质/电子文档：技术方案、运维手册、巡检报告、故障记录、客户资料、合同关键信息、项目计划与总结等。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知识库条目：个人创建或维护的运维知识库条目、技术笔记、解决方案案例。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待办事项与工作进展：正在进行中但未完成的任务、已承诺但未兑现的事项、待审批的流程、下一步工作计划及潜在风险。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系统权限与账号：所有工作相关的系统账号、密码、操作权限清单（如运维监控平台、客户系统、内部管理平台、云服务器控制台等）。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外部联系与客户关系：负责对接的客户接口人、供应商、合作伙伴等关键联系人的信息、沟通历史及当前关系状态。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5212"/>
      <w:r>
        <w:rPr>
          <w:rFonts w:hint="default"/>
          <w:lang w:val="en-US" w:eastAsia="zh-CN"/>
        </w:rPr>
        <w:t>公司物品交接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办公用品与资产：公司配发的笔记本电脑、移动设备、测试机、钥匙、门禁卡、办公文具等。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财务相关物品：备用金、未报销的票据、公司信用卡等。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证件与印章：因工作需要持有的公司证件、复印件或印章（如有）。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0" w:name="_Toc16509"/>
      <w:r>
        <w:rPr>
          <w:rFonts w:hint="default"/>
          <w:lang w:val="en-US" w:eastAsia="zh-CN"/>
        </w:rPr>
        <w:t>工作交接程序</w:t>
      </w:r>
      <w:bookmarkEnd w:id="10"/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32122"/>
      <w:r>
        <w:rPr>
          <w:rFonts w:hint="default"/>
          <w:lang w:val="en-US" w:eastAsia="zh-CN"/>
        </w:rPr>
        <w:t>交接启动</w:t>
      </w:r>
      <w:bookmarkEnd w:id="1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当出现需交接的情形时，由移交人的直接上级（监督人） 正式发起并通知移交人、接收人及人力部，明确交接截止日期。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2585"/>
      <w:r>
        <w:rPr>
          <w:rFonts w:hint="default"/>
          <w:lang w:val="en-US" w:eastAsia="zh-CN"/>
        </w:rPr>
        <w:t>准备工作</w:t>
      </w:r>
      <w:bookmarkEnd w:id="1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移交人须系统梳理本办法第2条所列的全部交接内容。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移交人填写《工作交接清单》（附件1），详细列明各项交接事项的现状、位置、说明及注意事项。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移交人同时填写《工作交接确认单》（附件2），列明待签字确认的项目。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17001"/>
      <w:r>
        <w:rPr>
          <w:rFonts w:hint="default"/>
          <w:lang w:val="en-US" w:eastAsia="zh-CN"/>
        </w:rPr>
        <w:t>审核与调整</w:t>
      </w:r>
      <w:bookmarkEnd w:id="1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监督人对移交人填写的《工作交接清单》和《工作交接确认单》进行审核，确保内容完整、准确，必要时予以补充或调整。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17434"/>
      <w:r>
        <w:rPr>
          <w:rFonts w:hint="default"/>
          <w:lang w:val="en-US" w:eastAsia="zh-CN"/>
        </w:rPr>
        <w:t>现场交接与确认</w:t>
      </w:r>
      <w:bookmarkEnd w:id="1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在监督人的主持下，移交人与接收人进行现场交接。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移交人依据清单逐项说明，接收人进行清点、核对与测试（如权限登录验证）。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对于不清楚或存疑的事项，移交人必须给予清晰解释，监督人负责协调直至双方认可。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交接完成后，移交人、接收人、监督人三方在《工作交接确认单》上签字，视为实物与信息移交完成。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12179"/>
      <w:r>
        <w:rPr>
          <w:rFonts w:hint="default"/>
          <w:lang w:val="en-US" w:eastAsia="zh-CN"/>
        </w:rPr>
        <w:t>系统权限与IT资产交接</w:t>
      </w:r>
      <w:bookmarkEnd w:id="1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涉及通用系统账号注销及标准IT资产（如公司电脑）回收的，按《人员入离职管理制度》规定，由接收人或监督人监督移交人完成清理后，提请研究总院/数智运营部（IT支持） 执行权限回收与资产回收流程，并在相关表单上会签。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2613"/>
      <w:r>
        <w:rPr>
          <w:rFonts w:hint="default"/>
          <w:lang w:val="en-US" w:eastAsia="zh-CN"/>
        </w:rPr>
        <w:t>存档备案</w:t>
      </w:r>
      <w:bookmarkEnd w:id="1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经三方签字确认的《工作交接确认单》原件，作为关键记录，由人力部归入员工人事档案，长期保存。《工作交接清单》可根据需要由部门备份。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7" w:name="_Toc5916"/>
      <w:r>
        <w:rPr>
          <w:rFonts w:hint="default"/>
          <w:lang w:val="en-US" w:eastAsia="zh-CN"/>
        </w:rPr>
        <w:t>工作交接要求</w:t>
      </w:r>
      <w:bookmarkEnd w:id="17"/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32308"/>
      <w:r>
        <w:rPr>
          <w:rFonts w:hint="default"/>
          <w:lang w:val="en-US" w:eastAsia="zh-CN"/>
        </w:rPr>
        <w:t>接收人指定</w:t>
      </w:r>
      <w:bookmarkEnd w:id="1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接收人原则上为岗位接替者。若接替者尚未到岗，则由监督人指定本部门员工作为临时接收人。关键岗位（如部门负责人、核心项目负责人）的交接，须报公司分管领导核准。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13043"/>
      <w:r>
        <w:rPr>
          <w:rFonts w:hint="default"/>
          <w:lang w:val="en-US" w:eastAsia="zh-CN"/>
        </w:rPr>
        <w:t>交接时限</w:t>
      </w:r>
      <w:bookmarkEnd w:id="1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岗位调动：应在调令生效前完成全部交接。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离职：应在最后工作日前完成全部交接。正式员工辞职的交接期包含在法定的30日通知期内。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长期请假：应在休假开始前完成必要的工作委托与事项交接。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具体交接计划由监督人根据实际情况与人力部协商确定。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23637"/>
      <w:r>
        <w:rPr>
          <w:rFonts w:hint="default"/>
          <w:lang w:val="en-US" w:eastAsia="zh-CN"/>
        </w:rPr>
        <w:t>特殊情况处理</w:t>
      </w:r>
      <w:bookmarkEnd w:id="2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如移交人因特殊原因无法亲自办理交接，须提前获得部门负责人及人力部书面批准，可授权他人代办，但所有责任仍由移交人承担。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14402"/>
      <w:r>
        <w:rPr>
          <w:rFonts w:hint="default"/>
          <w:lang w:val="en-US" w:eastAsia="zh-CN"/>
        </w:rPr>
        <w:t>离职关联</w:t>
      </w:r>
      <w:bookmarkEnd w:id="2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对于离职员工，完整且签字齐全的《工作交接确认单》是人力部办理离职结算、开具离职证明及发放最后薪资的必要前提。未完成有效工作交接者，公司有权暂缓办理相关手续。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2" w:name="_Toc20337"/>
      <w:r>
        <w:rPr>
          <w:rFonts w:hint="default"/>
          <w:lang w:val="en-US" w:eastAsia="zh-CN"/>
        </w:rPr>
        <w:t>监督与考核</w:t>
      </w:r>
      <w:bookmarkEnd w:id="22"/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12143"/>
      <w:r>
        <w:rPr>
          <w:rFonts w:hint="default"/>
          <w:lang w:val="en-US" w:eastAsia="zh-CN"/>
        </w:rPr>
        <w:t>部门责任制</w:t>
      </w:r>
      <w:bookmarkEnd w:id="2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工作交接实行部门负责人负责制。因交接不清导致公司遭受业务中断、客户投诉、财务损失、信息安全泄露或知识产权流失的，公司将依据情节严重程度，追究移交人、接收人、监督人（部门负责人） 的相应责任。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27523"/>
      <w:r>
        <w:rPr>
          <w:rFonts w:hint="default"/>
          <w:lang w:val="en-US" w:eastAsia="zh-CN"/>
        </w:rPr>
        <w:t>追究情形</w:t>
      </w:r>
      <w:bookmarkEnd w:id="2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包括但不限于：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应安排交接而未安排，或仅进行口头交接。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移交人故意隐瞒、遗漏关键工作或资料。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接收人未认真核实即予确认。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监督人审核、监督不力，流于形式。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未按本办法规定的程序和要求进行交接。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交接文件未按要求存档。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5" w:name="_Toc32013"/>
      <w:r>
        <w:rPr>
          <w:rFonts w:hint="default"/>
          <w:lang w:val="en-US" w:eastAsia="zh-CN"/>
        </w:rPr>
        <w:t>附则</w:t>
      </w:r>
      <w:bookmarkEnd w:id="2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本办法由人力部负责解释与修订。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本办法自发布之日起实施，原相关规定与本办法不一致的，以本办法为准。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本办法涉及的《工作交接清单》、《工作交接确认单》等附件，由人力部负责制定与更新。</w:t>
      </w:r>
    </w:p>
    <w:p>
      <w:pPr>
        <w:pStyle w:val="a1"/>
        <w:rPr>
          <w:rFonts w:hint="default"/>
          <w:lang w:val="en-US" w:eastAsia="zh-CN"/>
        </w:rPr>
      </w:pPr>
    </w:p>
    <w:sectPr>
      <w:headerReference w:type="default" r:id="rId7"/>
      <w:footerReference w:type="default" r:id="rId8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7581AE9"/>
    <w:multiLevelType w:val="singleLevel"/>
    <w:tmpl w:val="B7581AE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2262</Words>
  <Characters>2378</Characters>
  <Application>Microsoft Office Word</Application>
  <DocSecurity>0</DocSecurity>
  <Lines>0</Lines>
  <Paragraphs>0</Paragraphs>
  <ScaleCrop>false</ScaleCrop>
  <Company/>
  <LinksUpToDate>false</LinksUpToDate>
  <CharactersWithSpaces>2479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2026-01-28T12:23:58Z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