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76F1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047"/>
      <w:bookmarkStart w:id="1" w:name="_Toc2171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  <w:bookmarkEnd w:id="1"/>
    </w:p>
    <w:p w14:paraId="39CEDBB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21180"/>
      <w:r>
        <w:rPr>
          <w:rFonts w:hint="eastAsia"/>
          <w:lang w:val="en-US" w:eastAsia="zh-CN"/>
        </w:rPr>
        <w:t>2025年（1-11月）人员管理报告</w:t>
      </w:r>
      <w:bookmarkEnd w:id="2"/>
    </w:p>
    <w:p w14:paraId="14BFE63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CF37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E95C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4EE485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22BF7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B3F89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1DF26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4B184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C97FA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5600E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033F8E0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51F703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FAD89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18E26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1F554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D03A8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C1DF1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659E0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ED55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00B60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6AD120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4986EF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0254A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68817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263A5E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1601CC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633D29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30621C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0117D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BB245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D6D71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542548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0AB75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58B0E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6DE92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5B996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1B60F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16F8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F6433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B893A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8BB53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96E88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97DE3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70EEC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FE32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6DF82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5AFFD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E4285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E728B1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9E64FA6">
          <w:pPr>
            <w:pStyle w:val="16"/>
            <w:tabs>
              <w:tab w:val="right" w:leader="dot" w:pos="8306"/>
            </w:tabs>
          </w:pPr>
          <w:bookmarkStart w:id="24" w:name="_GoBack"/>
          <w:bookmarkEnd w:id="24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_Toc21715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E650D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2025年（1-11月）人员管理报告</w:t>
          </w:r>
          <w:r>
            <w:tab/>
          </w:r>
          <w:r>
            <w:fldChar w:fldCharType="begin"/>
          </w:r>
          <w:r>
            <w:instrText xml:space="preserve"> PAGEREF _Toc21180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8EADB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总体成就与现状总结</w:t>
          </w:r>
          <w:r>
            <w:tab/>
          </w:r>
          <w:r>
            <w:fldChar w:fldCharType="begin"/>
          </w:r>
          <w:r>
            <w:instrText xml:space="preserve"> PAGEREF _Toc2085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0EB8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计划执行成果</w:t>
          </w:r>
          <w:r>
            <w:tab/>
          </w:r>
          <w:r>
            <w:fldChar w:fldCharType="begin"/>
          </w:r>
          <w:r>
            <w:instrText xml:space="preserve"> PAGEREF _Toc12527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251F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_Toc6188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44313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人员储备详情</w:t>
          </w:r>
          <w:r>
            <w:tab/>
          </w:r>
          <w:r>
            <w:fldChar w:fldCharType="begin"/>
          </w:r>
          <w:r>
            <w:instrText xml:space="preserve"> PAGEREF _Toc18329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F1FB2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人员储备KPI完成情况</w:t>
          </w:r>
          <w:r>
            <w:tab/>
          </w:r>
          <w:r>
            <w:fldChar w:fldCharType="begin"/>
          </w:r>
          <w:r>
            <w:instrText xml:space="preserve"> PAGEREF _Toc11288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0D46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_Toc32692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AF420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人员招聘情况详情</w:t>
          </w:r>
          <w:r>
            <w:tab/>
          </w:r>
          <w:r>
            <w:fldChar w:fldCharType="begin"/>
          </w:r>
          <w:r>
            <w:instrText xml:space="preserve"> PAGEREF _Toc13638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A1DF0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人员招聘KPI完成情况</w:t>
          </w:r>
          <w:r>
            <w:tab/>
          </w:r>
          <w:r>
            <w:fldChar w:fldCharType="begin"/>
          </w:r>
          <w:r>
            <w:instrText xml:space="preserve"> PAGEREF _Toc10322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A79F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_Toc25878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CE505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人员备份详情</w:t>
          </w:r>
          <w:r>
            <w:tab/>
          </w:r>
          <w:r>
            <w:fldChar w:fldCharType="begin"/>
          </w:r>
          <w:r>
            <w:instrText xml:space="preserve"> PAGEREF _Toc14722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56430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人员备份KPI完成情况</w:t>
          </w:r>
          <w:r>
            <w:tab/>
          </w:r>
          <w:r>
            <w:fldChar w:fldCharType="begin"/>
          </w:r>
          <w:r>
            <w:instrText xml:space="preserve"> PAGEREF _Toc30408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A803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_Toc16196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50166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人员培训情况详情</w:t>
          </w:r>
          <w:r>
            <w:tab/>
          </w:r>
          <w:r>
            <w:fldChar w:fldCharType="begin"/>
          </w:r>
          <w:r>
            <w:instrText xml:space="preserve"> PAGEREF _Toc5398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09F0E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人员培训KPI完成情况</w:t>
          </w:r>
          <w:r>
            <w:tab/>
          </w:r>
          <w:r>
            <w:fldChar w:fldCharType="begin"/>
          </w:r>
          <w:r>
            <w:instrText xml:space="preserve"> PAGEREF _Toc13631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026F1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_Toc8595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697D9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2.5.1. </w:t>
          </w:r>
          <w:r>
            <w:rPr>
              <w:rFonts w:hint="eastAsia"/>
              <w:lang w:val="en-US" w:eastAsia="zh-CN"/>
            </w:rPr>
            <w:t>人员绩效考核详情</w:t>
          </w:r>
          <w:r>
            <w:tab/>
          </w:r>
          <w:r>
            <w:fldChar w:fldCharType="begin"/>
          </w:r>
          <w:r>
            <w:instrText xml:space="preserve"> PAGEREF _Toc8476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E02BA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人员绩效考核KPI完成情况</w:t>
          </w:r>
          <w:r>
            <w:tab/>
          </w:r>
          <w:r>
            <w:fldChar w:fldCharType="begin"/>
          </w:r>
          <w:r>
            <w:instrText xml:space="preserve"> PAGEREF _Toc5152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2BE2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_Toc26795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1921B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2.6.1. </w:t>
          </w:r>
          <w:r>
            <w:rPr>
              <w:rFonts w:hint="eastAsia"/>
              <w:lang w:val="en-US" w:eastAsia="zh-CN"/>
            </w:rPr>
            <w:t>人员技能评定详情</w:t>
          </w:r>
          <w:r>
            <w:tab/>
          </w:r>
          <w:r>
            <w:fldChar w:fldCharType="begin"/>
          </w:r>
          <w:r>
            <w:instrText xml:space="preserve"> PAGEREF _Toc6902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43E71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2.6.2. </w:t>
          </w:r>
          <w:r>
            <w:rPr>
              <w:rFonts w:hint="eastAsia"/>
              <w:lang w:val="en-US" w:eastAsia="zh-CN"/>
            </w:rPr>
            <w:t>人员技能评定KPI完成情况</w:t>
          </w:r>
          <w:r>
            <w:tab/>
          </w:r>
          <w:r>
            <w:fldChar w:fldCharType="begin"/>
          </w:r>
          <w:r>
            <w:instrText xml:space="preserve"> PAGEREF _Toc2623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64F06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FD017E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A39ACD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085"/>
      <w:r>
        <w:rPr>
          <w:rFonts w:hint="eastAsia"/>
        </w:rPr>
        <w:t>总体成就与现状总结</w:t>
      </w:r>
      <w:bookmarkEnd w:id="3"/>
    </w:p>
    <w:p w14:paraId="19DAC6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本报告旨在系统总结《2025年度人员管理计划》自年初至11月底的执行情况。总体而言，计划执行基本符合预期，在人员招聘、培训体系搭建及关键岗位风险管控方面取得了阶段性成果，为全年业务目标的达成提供了稳定的人力资源支撑。报告从招聘、储备、培训、备份、绩效及技能评定六大模块进行复盘，并对年底重点工作及下</w:t>
      </w:r>
      <w:r>
        <w:rPr>
          <w:rFonts w:hint="eastAsia"/>
          <w:lang w:val="en-US" w:eastAsia="zh-CN"/>
        </w:rPr>
        <w:t>一阶段</w:t>
      </w:r>
      <w:r>
        <w:rPr>
          <w:rFonts w:hint="eastAsia"/>
        </w:rPr>
        <w:t>规划提出建议。</w:t>
      </w:r>
    </w:p>
    <w:p w14:paraId="34C65BF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2527"/>
      <w:r>
        <w:rPr>
          <w:rFonts w:hint="eastAsia"/>
          <w:lang w:val="en-US" w:eastAsia="zh-CN"/>
        </w:rPr>
        <w:t>计划执行成果</w:t>
      </w:r>
      <w:bookmarkEnd w:id="4"/>
    </w:p>
    <w:p w14:paraId="2F0C1D9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6188"/>
      <w:r>
        <w:rPr>
          <w:rFonts w:hint="eastAsia"/>
          <w:lang w:val="en-US" w:eastAsia="zh-CN"/>
        </w:rPr>
        <w:t>人员储备完成情况</w:t>
      </w:r>
      <w:bookmarkEnd w:id="5"/>
    </w:p>
    <w:p w14:paraId="67DEFDDB">
      <w:pPr>
        <w:pStyle w:val="31"/>
        <w:bidi w:val="0"/>
        <w:rPr>
          <w:rFonts w:hint="eastAsia"/>
          <w:lang w:val="en-US" w:eastAsia="zh-CN"/>
        </w:rPr>
      </w:pPr>
      <w:bookmarkStart w:id="6" w:name="_Toc18329"/>
      <w:r>
        <w:rPr>
          <w:rFonts w:hint="eastAsia"/>
          <w:lang w:val="en-US" w:eastAsia="zh-CN"/>
        </w:rPr>
        <w:t>人员储备详情</w:t>
      </w:r>
      <w:bookmarkEnd w:id="6"/>
    </w:p>
    <w:tbl>
      <w:tblPr>
        <w:tblStyle w:val="21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040"/>
        <w:gridCol w:w="1289"/>
        <w:gridCol w:w="1348"/>
        <w:gridCol w:w="1796"/>
        <w:gridCol w:w="1289"/>
      </w:tblGrid>
      <w:tr w14:paraId="6FD6A8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3304E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序号</w:t>
            </w:r>
          </w:p>
        </w:tc>
        <w:tc>
          <w:tcPr>
            <w:tcW w:w="20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0C117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3FDE9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3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08787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储备来源</w:t>
            </w:r>
          </w:p>
        </w:tc>
        <w:tc>
          <w:tcPr>
            <w:tcW w:w="17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0EEA1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5A9AB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完成情况</w:t>
            </w:r>
          </w:p>
        </w:tc>
      </w:tr>
      <w:tr w14:paraId="663726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4A353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969B6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6BEB7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C5616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B5DCE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B2807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7E79BF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7F1FB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9F1EB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研究总院经理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C9E13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FAFF0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25059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82112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8EB90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6C3F1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53E1D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质量管理部经理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95CCD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4F99D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02EA3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8D879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5CF91D61">
      <w:pPr>
        <w:pStyle w:val="31"/>
        <w:bidi w:val="0"/>
        <w:rPr>
          <w:rFonts w:hint="default"/>
          <w:lang w:val="en-US" w:eastAsia="zh-CN"/>
        </w:rPr>
      </w:pPr>
      <w:bookmarkStart w:id="7" w:name="_Toc11288"/>
      <w:r>
        <w:rPr>
          <w:rFonts w:hint="eastAsia"/>
          <w:lang w:val="en-US" w:eastAsia="zh-CN"/>
        </w:rPr>
        <w:t>人员储备KPI完成情况</w:t>
      </w:r>
      <w:bookmarkEnd w:id="7"/>
    </w:p>
    <w:p w14:paraId="5111CA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人员储备的考核指标是每季度储备计划完成率，计算方式为：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完成储备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人数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数量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/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应储备人员总数量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*100%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。目标值是≥95%。</w:t>
      </w:r>
    </w:p>
    <w:p w14:paraId="4820B9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截止2025年11月，每季度均按时完成储备计划，储备计划完成率为100%。满足考核指标要求。</w:t>
      </w:r>
    </w:p>
    <w:p w14:paraId="1E1186E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2692"/>
      <w:r>
        <w:rPr>
          <w:rFonts w:hint="eastAsia"/>
          <w:lang w:val="en-US" w:eastAsia="zh-CN"/>
        </w:rPr>
        <w:t>人员招聘完成情况</w:t>
      </w:r>
      <w:bookmarkEnd w:id="8"/>
    </w:p>
    <w:p w14:paraId="4777968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3638"/>
      <w:r>
        <w:rPr>
          <w:rFonts w:hint="eastAsia"/>
          <w:lang w:val="en-US" w:eastAsia="zh-CN"/>
        </w:rPr>
        <w:t>人员招聘情况详情</w:t>
      </w:r>
      <w:bookmarkEnd w:id="9"/>
    </w:p>
    <w:p w14:paraId="04E14B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招聘计划完成情况如下：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1506"/>
        <w:gridCol w:w="1717"/>
        <w:gridCol w:w="1722"/>
        <w:gridCol w:w="1723"/>
        <w:gridCol w:w="1182"/>
      </w:tblGrid>
      <w:tr w14:paraId="0F144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5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56A9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792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需求部门</w:t>
            </w:r>
          </w:p>
        </w:tc>
        <w:tc>
          <w:tcPr>
            <w:tcW w:w="17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E84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65A2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7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7F29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3345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6D57A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8B32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20B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3B51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74F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9C73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FBA1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A8CD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2F5C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E26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D08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F41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64CC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2D28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EEB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F9DF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6E3A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A84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E45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991E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4495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9297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4690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FFE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0E5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6FE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9D4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0B7E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2DA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DC4B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C095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0EA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3C9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2B9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E42D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691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FA7A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52D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1C6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62C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811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6BFA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8E8C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B028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BA3E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5B5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FEF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E9B2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5673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9C9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056B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9A1D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093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51FB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4D9D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E8C8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 w14:paraId="4C55B2D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0322"/>
      <w:r>
        <w:rPr>
          <w:rFonts w:hint="eastAsia"/>
          <w:lang w:val="en-US" w:eastAsia="zh-CN"/>
        </w:rPr>
        <w:t>人员招聘KPI完成情况</w:t>
      </w:r>
      <w:bookmarkEnd w:id="10"/>
    </w:p>
    <w:p w14:paraId="55DBF6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人员招聘的考核指标是每季度招聘计划达成率，计算方式为：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实际聘用人数/计划招聘人数*100%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。目标值是≥95%。</w:t>
      </w:r>
    </w:p>
    <w:p w14:paraId="3F0851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截止2025年11月，每季度均按时完成招聘计划，招聘计划达成率为100%。满足考核指标要求。</w:t>
      </w:r>
    </w:p>
    <w:p w14:paraId="3FA9BF6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5878"/>
      <w:r>
        <w:rPr>
          <w:rFonts w:hint="eastAsia"/>
          <w:lang w:val="en-US" w:eastAsia="zh-CN"/>
        </w:rPr>
        <w:t>人员备份完成情况</w:t>
      </w:r>
      <w:bookmarkEnd w:id="11"/>
    </w:p>
    <w:p w14:paraId="2E080CF9">
      <w:pPr>
        <w:pStyle w:val="31"/>
        <w:bidi w:val="0"/>
        <w:rPr>
          <w:rFonts w:hint="eastAsia"/>
          <w:lang w:val="en-US" w:eastAsia="zh-CN"/>
        </w:rPr>
      </w:pPr>
      <w:bookmarkStart w:id="12" w:name="_Toc14722"/>
      <w:r>
        <w:rPr>
          <w:rFonts w:hint="eastAsia"/>
          <w:lang w:val="en-US" w:eastAsia="zh-CN"/>
        </w:rPr>
        <w:t>人员备份详情</w:t>
      </w:r>
      <w:bookmarkEnd w:id="12"/>
    </w:p>
    <w:tbl>
      <w:tblPr>
        <w:tblStyle w:val="20"/>
        <w:tblW w:w="93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9"/>
        <w:gridCol w:w="1077"/>
        <w:gridCol w:w="1018"/>
        <w:gridCol w:w="3087"/>
        <w:gridCol w:w="1105"/>
        <w:gridCol w:w="807"/>
        <w:gridCol w:w="858"/>
        <w:gridCol w:w="858"/>
      </w:tblGrid>
      <w:tr w14:paraId="0A64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6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33E9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0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39E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备份岗位名称</w:t>
            </w:r>
          </w:p>
        </w:tc>
        <w:tc>
          <w:tcPr>
            <w:tcW w:w="10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1266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30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0239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11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85B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备份岗</w:t>
            </w:r>
          </w:p>
        </w:tc>
        <w:tc>
          <w:tcPr>
            <w:tcW w:w="8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66A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备份人数</w:t>
            </w:r>
          </w:p>
        </w:tc>
        <w:tc>
          <w:tcPr>
            <w:tcW w:w="8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5B9B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到岗时间</w:t>
            </w:r>
          </w:p>
        </w:tc>
        <w:tc>
          <w:tcPr>
            <w:tcW w:w="8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ACE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5A64F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5A26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52C0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A2E2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944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部门战略、服务交付、应急响应的总负责人。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C0F4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F3F7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8AF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380E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2DEF3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1DD64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734F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E802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C8D0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单个运维项目全生命周期管理、客户关系及SLA达成的第一责任人。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BD0B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8BE7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1D5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4F85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339AB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82FF6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314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70A8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760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研发战略、技术决策、架构治理及团队管理的负责人。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016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CAF1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0FA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9CC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0974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9A6CD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495D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F95D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CC7C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质量体系规划、内外部审核管理及重大质量事故处理的负责人。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0D3D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A243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DEFC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238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6BDC9CE9">
      <w:pPr>
        <w:pStyle w:val="31"/>
        <w:bidi w:val="0"/>
        <w:rPr>
          <w:rFonts w:hint="default"/>
          <w:lang w:val="en-US" w:eastAsia="zh-CN"/>
        </w:rPr>
      </w:pPr>
      <w:bookmarkStart w:id="13" w:name="_Toc30408"/>
      <w:r>
        <w:rPr>
          <w:rFonts w:hint="eastAsia"/>
          <w:lang w:val="en-US" w:eastAsia="zh-CN"/>
        </w:rPr>
        <w:t>人员备份KPI完成情况</w:t>
      </w:r>
      <w:bookmarkEnd w:id="13"/>
    </w:p>
    <w:p w14:paraId="766610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人员备份的考核指标是每季度备份计划达成率，计算方式为：实际备份人数/计划备份人数*100%。目标值是≥95%。</w:t>
      </w:r>
    </w:p>
    <w:p w14:paraId="7050F16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截止2025年11月，每季度均按时完成备份计划，备份计划达成率为100%。满足考核指标要求。</w:t>
      </w:r>
    </w:p>
    <w:p w14:paraId="553B68E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6196"/>
      <w:r>
        <w:rPr>
          <w:rFonts w:hint="eastAsia"/>
          <w:lang w:val="en-US" w:eastAsia="zh-CN"/>
        </w:rPr>
        <w:t>人员培训完成情况</w:t>
      </w:r>
      <w:bookmarkEnd w:id="14"/>
    </w:p>
    <w:p w14:paraId="730F802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5398"/>
      <w:r>
        <w:rPr>
          <w:rFonts w:hint="eastAsia"/>
          <w:lang w:val="en-US" w:eastAsia="zh-CN"/>
        </w:rPr>
        <w:t>人员培训情况详情</w:t>
      </w:r>
      <w:bookmarkEnd w:id="15"/>
    </w:p>
    <w:tbl>
      <w:tblPr>
        <w:tblStyle w:val="2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2400"/>
        <w:gridCol w:w="1457"/>
        <w:gridCol w:w="1608"/>
        <w:gridCol w:w="1608"/>
        <w:gridCol w:w="817"/>
      </w:tblGrid>
      <w:tr w14:paraId="5E046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BBDD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9F65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项目名称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ED4A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E42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9EA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培训对象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B32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609AB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0C7E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7E1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ITSS运维体系培训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B4D6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6A19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0316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69A0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9552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DCE2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2BF3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人员备份培训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265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DF88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56E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348A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25247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1205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2B55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服务意识培训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4D7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72C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DA37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19CD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1B92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B993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5A4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B80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FFE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BE8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110B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319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C17F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B8B6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工单系统培训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C2D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ED01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771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3506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7862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E13C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D3F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员工手册培训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956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F9E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74C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ECDA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76BD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134D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14B2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852F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8D4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E69B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5929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0C2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16AB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836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Java架构培训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0B4A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F64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8C88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43A6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48C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569B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90F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5A1D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3E6C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F899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8736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2C23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4BC6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A3FC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服务台规范培训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0E08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5CF6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CFD0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DA57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A052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78E4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A5FE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管理能力提升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6681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B84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18A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C142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FDEC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F947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819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日常运维典型案例分析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112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C4D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81B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3D92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373A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CC3B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1A7E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前端技术培训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E462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E6D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A43F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B8ED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608B4D5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3631"/>
      <w:r>
        <w:rPr>
          <w:rFonts w:hint="eastAsia"/>
          <w:lang w:val="en-US" w:eastAsia="zh-CN"/>
        </w:rPr>
        <w:t>人员培训KPI完成情况</w:t>
      </w:r>
      <w:bookmarkEnd w:id="16"/>
    </w:p>
    <w:p w14:paraId="1178E5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人员培训的考核指标是每季度培训计划完成率，计算方式为：实际培训次数/应培训次数*100%。目标值是≥95%。</w:t>
      </w:r>
    </w:p>
    <w:p w14:paraId="3F8F79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截止2025年11月，每季度均按时完成培训计划，培训计划达成率为100%。满足考核指标要求。</w:t>
      </w:r>
    </w:p>
    <w:p w14:paraId="7177722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8595"/>
      <w:r>
        <w:rPr>
          <w:rFonts w:hint="eastAsia"/>
          <w:lang w:val="en-US" w:eastAsia="zh-CN"/>
        </w:rPr>
        <w:t>人员绩效考核完成情况</w:t>
      </w:r>
      <w:bookmarkEnd w:id="17"/>
    </w:p>
    <w:p w14:paraId="7664FA6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8476"/>
      <w:r>
        <w:rPr>
          <w:rFonts w:hint="eastAsia"/>
          <w:lang w:val="en-US" w:eastAsia="zh-CN"/>
        </w:rPr>
        <w:t>人员绩效考核详情</w:t>
      </w:r>
      <w:bookmarkEnd w:id="18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2003"/>
        <w:gridCol w:w="2534"/>
        <w:gridCol w:w="2676"/>
      </w:tblGrid>
      <w:tr w14:paraId="0A87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E08C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考核周期与环节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A731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计划要求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8A2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实际执行情况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8838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状态与关键产出</w:t>
            </w:r>
          </w:p>
        </w:tc>
      </w:tr>
      <w:tr w14:paraId="62A10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9BD7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 (Q1-Q3)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0687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每季度开展计划、辅导、评估、反馈的全流程。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550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已100%完成第一、二、三季度的全部四个环节。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08B5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已完成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产出：各季度《绩效计划/考核表》、辅导记录、评估结果、反馈面谈记录。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核心：实现了从“考核”到“持续管理”的转变。</w:t>
            </w:r>
          </w:p>
        </w:tc>
      </w:tr>
      <w:tr w14:paraId="0245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5595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绩效计划制定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4D70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季度初，上下级共同制定并确认绩效计划。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FDE0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每季度初按时完成，目标基于部门分解，符合SMART原则。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1B9B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已成标准动作</w:t>
            </w:r>
          </w:p>
        </w:tc>
      </w:tr>
      <w:tr w14:paraId="7B553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E78D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绩效过程辅导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AA5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每月至少一次正式沟通与辅导。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388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管理者普遍执行，关键事件记录成为评估的重要依据。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A4D5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已形成管理习惯</w:t>
            </w:r>
          </w:p>
        </w:tc>
      </w:tr>
      <w:tr w14:paraId="5E0EC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C1A4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绩效考核评估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851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季度结束5个工作日内完成评估。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33C8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准时完成，系统支持了自评、上级评及结果计算。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7365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流程已固化</w:t>
            </w:r>
          </w:p>
        </w:tc>
      </w:tr>
      <w:tr w14:paraId="5A3BC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696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绩效结果反馈与面谈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FF76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评估后3个工作日内完成一对一沟通。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1C1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全部完成，并共同制定了《绩效改进与发展计划》。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41FE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实现闭环与改进</w:t>
            </w:r>
          </w:p>
        </w:tc>
      </w:tr>
      <w:tr w14:paraId="11B56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D016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年度考核准备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1613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年末综合季度结果与年度评价。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6A6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前三季度数据已就绪，年度能力行为评价方案已确定。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9B95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按计划准备中</w:t>
            </w:r>
          </w:p>
        </w:tc>
      </w:tr>
      <w:tr w14:paraId="5028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34CB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考核结果应用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8D2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应用于薪酬、晋升、发展、调整。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3AB9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季度考核结果已与绩效奖金兑现直接挂钩，并用于人才盘点。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092D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已实现即时应用</w:t>
            </w:r>
          </w:p>
        </w:tc>
      </w:tr>
    </w:tbl>
    <w:p w14:paraId="3566D2D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5152"/>
      <w:r>
        <w:rPr>
          <w:rFonts w:hint="eastAsia"/>
          <w:lang w:val="en-US" w:eastAsia="zh-CN"/>
        </w:rPr>
        <w:t>人员绩效考核KPI完成情况</w:t>
      </w:r>
      <w:bookmarkEnd w:id="19"/>
    </w:p>
    <w:p w14:paraId="36D1FC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人员绩效考核的考核指标是每季度绩效考核合格率，计算方式为：绩效考核合格人数/绩效考核总人数*100%。目标值是≥90%。</w:t>
      </w:r>
    </w:p>
    <w:p w14:paraId="6B670F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截止2025年11月，每季度对运维人员进行考核，所有人考核成绩均合格，绩效考核合格率为100%。满足考核指标要求。</w:t>
      </w:r>
    </w:p>
    <w:p w14:paraId="02F3E1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26795"/>
      <w:r>
        <w:rPr>
          <w:rFonts w:hint="eastAsia"/>
          <w:lang w:val="en-US" w:eastAsia="zh-CN"/>
        </w:rPr>
        <w:t>人员技能评定完成情况</w:t>
      </w:r>
      <w:bookmarkEnd w:id="20"/>
    </w:p>
    <w:p w14:paraId="0525B69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bookmark14"/>
      <w:bookmarkEnd w:id="21"/>
      <w:bookmarkStart w:id="22" w:name="_Toc6902"/>
      <w:r>
        <w:rPr>
          <w:rFonts w:hint="eastAsia"/>
          <w:lang w:val="en-US" w:eastAsia="zh-CN"/>
        </w:rPr>
        <w:t>人员技能评定详情</w:t>
      </w:r>
      <w:bookmarkEnd w:id="22"/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2413"/>
        <w:gridCol w:w="3675"/>
        <w:gridCol w:w="918"/>
      </w:tblGrid>
      <w:tr w14:paraId="20793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9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2361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评定关键环节</w:t>
            </w:r>
          </w:p>
        </w:tc>
        <w:tc>
          <w:tcPr>
            <w:tcW w:w="24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7CC2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36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F3B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实际完成情况（截至11月30日）</w:t>
            </w:r>
          </w:p>
        </w:tc>
        <w:tc>
          <w:tcPr>
            <w:tcW w:w="9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935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7AE0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965A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制度与标准建设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F290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依据制度建立两大序列、五级技能模型及评定标准。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15A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已完成《专业技能等级任职资格标准细则》的制定与发布，并通过多渠道完成全员宣贯。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4A16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5E1EA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E384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评定流程设计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082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明确“申请-审核-评审-审批-应用”的闭环流程。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AC24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全套流程文档与工具（《申请表》、《评价表》）已开发、测试并定稿。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5245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91D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7803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年度评定启动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0727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计划于2025年12月启动常规集中评定。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5E58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正式发布年度评定通知，全面启动员工申请与部门推荐流程。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DC76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准备中</w:t>
            </w:r>
          </w:p>
        </w:tc>
      </w:tr>
      <w:tr w14:paraId="6EB9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195C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资格审查机制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122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设定司龄、绩效等基本门槛。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368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审查标准与协同工作机制已在人力部与业务部门间明确。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E5F6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DFE2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4226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评审组织保障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D92C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组建评审委员会。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F40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评审委员会组建方案已获批准，委员名单已初步拟定。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54B3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6E01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9000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评定方法确认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F5F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采用“履历评审(30%)+能力答辩(70%)”复合模型。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60AF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评审细则、评分维度和答辩流程均已确定，并完成对潜在评委的培训。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2487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48C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1881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结果应用衔接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0E4A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评定结果与薪酬、晋升、培训等挂钩。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49A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与薪酬体系、人才盘点系统的对接方案已准备完毕。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1645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042CDC4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623"/>
      <w:r>
        <w:rPr>
          <w:rFonts w:hint="eastAsia"/>
          <w:lang w:val="en-US" w:eastAsia="zh-CN"/>
        </w:rPr>
        <w:t>人员技能评定KPI完成情况</w:t>
      </w:r>
      <w:bookmarkEnd w:id="23"/>
    </w:p>
    <w:p w14:paraId="3F5540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人员技能评定的考核指标是每年度技能评定覆盖率，计算方式为：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实际进行技能评定的人数/应进行技能评定的人数*100%</w:t>
      </w:r>
      <w:r>
        <w:rPr>
          <w:rFonts w:hint="eastAsia"/>
          <w:lang w:val="en-US" w:eastAsia="zh-CN"/>
        </w:rPr>
        <w:t>。目标值是≥80%。</w:t>
      </w:r>
    </w:p>
    <w:p w14:paraId="226CF8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计划于12月初进行人员技能技能评定，目前进展顺利。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F0F3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C7764DD"/>
    <w:multiLevelType w:val="singleLevel"/>
    <w:tmpl w:val="EC7764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2F5C425"/>
    <w:multiLevelType w:val="singleLevel"/>
    <w:tmpl w:val="52F5C4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749E3"/>
    <w:rsid w:val="00586FEC"/>
    <w:rsid w:val="01144A6A"/>
    <w:rsid w:val="01B4527D"/>
    <w:rsid w:val="02A045C9"/>
    <w:rsid w:val="054A67F1"/>
    <w:rsid w:val="060C2D53"/>
    <w:rsid w:val="06C53661"/>
    <w:rsid w:val="07E72248"/>
    <w:rsid w:val="0A1B3512"/>
    <w:rsid w:val="0A2819C9"/>
    <w:rsid w:val="0B304DED"/>
    <w:rsid w:val="0B310B66"/>
    <w:rsid w:val="0EA77ABC"/>
    <w:rsid w:val="10A87B1C"/>
    <w:rsid w:val="10DA6540"/>
    <w:rsid w:val="13641446"/>
    <w:rsid w:val="150F0169"/>
    <w:rsid w:val="17562080"/>
    <w:rsid w:val="19A3296E"/>
    <w:rsid w:val="19D90D46"/>
    <w:rsid w:val="19F3005A"/>
    <w:rsid w:val="1B26620D"/>
    <w:rsid w:val="1BF105C9"/>
    <w:rsid w:val="1FF02946"/>
    <w:rsid w:val="1FF95250"/>
    <w:rsid w:val="203638C7"/>
    <w:rsid w:val="20E22BD6"/>
    <w:rsid w:val="22F2367C"/>
    <w:rsid w:val="25665B84"/>
    <w:rsid w:val="268A3AF4"/>
    <w:rsid w:val="282C42AE"/>
    <w:rsid w:val="286D0B3B"/>
    <w:rsid w:val="29BC2E0A"/>
    <w:rsid w:val="29CC4423"/>
    <w:rsid w:val="2AF552B4"/>
    <w:rsid w:val="2B0379D1"/>
    <w:rsid w:val="2CBF5B79"/>
    <w:rsid w:val="300A7A53"/>
    <w:rsid w:val="30E649C0"/>
    <w:rsid w:val="31EA5447"/>
    <w:rsid w:val="327B0795"/>
    <w:rsid w:val="32E97DF4"/>
    <w:rsid w:val="34711E4F"/>
    <w:rsid w:val="35B446E9"/>
    <w:rsid w:val="36B84EBB"/>
    <w:rsid w:val="39BC649C"/>
    <w:rsid w:val="3B7F268E"/>
    <w:rsid w:val="3D5570A2"/>
    <w:rsid w:val="3D567E34"/>
    <w:rsid w:val="3DFB09DB"/>
    <w:rsid w:val="3F9904AC"/>
    <w:rsid w:val="40316936"/>
    <w:rsid w:val="40BE01CA"/>
    <w:rsid w:val="40F736DC"/>
    <w:rsid w:val="4251506E"/>
    <w:rsid w:val="434C41B3"/>
    <w:rsid w:val="44472BCC"/>
    <w:rsid w:val="44B6565C"/>
    <w:rsid w:val="4570101B"/>
    <w:rsid w:val="459260C9"/>
    <w:rsid w:val="47C83D95"/>
    <w:rsid w:val="48990EF9"/>
    <w:rsid w:val="4A34774F"/>
    <w:rsid w:val="4AD625B4"/>
    <w:rsid w:val="4B6865FA"/>
    <w:rsid w:val="4C961A01"/>
    <w:rsid w:val="4E832A53"/>
    <w:rsid w:val="4EB946C7"/>
    <w:rsid w:val="508D5E0B"/>
    <w:rsid w:val="519D5BDA"/>
    <w:rsid w:val="52231EA1"/>
    <w:rsid w:val="545253A1"/>
    <w:rsid w:val="557E7F28"/>
    <w:rsid w:val="56521689"/>
    <w:rsid w:val="5697479B"/>
    <w:rsid w:val="570A1F63"/>
    <w:rsid w:val="58CC0FFE"/>
    <w:rsid w:val="59543849"/>
    <w:rsid w:val="5AFC6067"/>
    <w:rsid w:val="5C581511"/>
    <w:rsid w:val="5CB309A7"/>
    <w:rsid w:val="5D816178"/>
    <w:rsid w:val="5D8705F7"/>
    <w:rsid w:val="5DAF116F"/>
    <w:rsid w:val="5F2E6A0B"/>
    <w:rsid w:val="60670F73"/>
    <w:rsid w:val="61933D97"/>
    <w:rsid w:val="61A435AA"/>
    <w:rsid w:val="636C18B0"/>
    <w:rsid w:val="6DFB3F5C"/>
    <w:rsid w:val="729D1A86"/>
    <w:rsid w:val="7417013D"/>
    <w:rsid w:val="74E042F3"/>
    <w:rsid w:val="76E9529A"/>
    <w:rsid w:val="78F30652"/>
    <w:rsid w:val="79CD1207"/>
    <w:rsid w:val="7B2235DD"/>
    <w:rsid w:val="7C3A6597"/>
    <w:rsid w:val="7C9F63FA"/>
    <w:rsid w:val="7E1B32FB"/>
    <w:rsid w:val="7E1E7F1F"/>
    <w:rsid w:val="7E62504B"/>
    <w:rsid w:val="7E7D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2900</Words>
  <Characters>3340</Characters>
  <Lines>0</Lines>
  <Paragraphs>0</Paragraphs>
  <TotalTime>0</TotalTime>
  <ScaleCrop>false</ScaleCrop>
  <LinksUpToDate>false</LinksUpToDate>
  <CharactersWithSpaces>3691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2026-02-07T04:15:59Z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