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D5E74">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2363"/>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2C49082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5601"/>
      <w:r>
        <w:rPr>
          <w:rFonts w:hint="eastAsia"/>
          <w:lang w:val="en-US" w:eastAsia="zh-CN"/>
        </w:rPr>
        <w:t>服务级别管理制度</w:t>
      </w:r>
      <w:bookmarkEnd w:id="1"/>
    </w:p>
    <w:p w14:paraId="52F4B10F">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0CE0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69F364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38666F6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549C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535A2C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1081415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F832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836E35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60423CD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B8FD69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290C966F">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1A20FC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AFF44F">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62A0658F">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69716CAC">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9F85E9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2BAFB456">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9853A5F">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FDDEE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5E93C01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416D20F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BA870DA">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42ACFAD1">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5A773B4E">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C50C54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0E204D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F910A7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8DCC55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739555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0F3464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8444E9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042F3B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D0340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399B74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41A68D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A7FAFF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6901CEF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9C8096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E75D4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03539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73DFB73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9237AF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D75380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68846CB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69BCFF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78FA4A7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BFF3DE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69F7D52">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207185C">
          <w:pPr>
            <w:pStyle w:val="16"/>
            <w:tabs>
              <w:tab w:val="right" w:leader="dot" w:pos="8306"/>
            </w:tabs>
          </w:pPr>
          <w:bookmarkStart w:id="29" w:name="_GoBack"/>
          <w:bookmarkEnd w:id="29"/>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_Toc22363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_Toc22363 \h </w:instrText>
          </w:r>
          <w:r>
            <w:fldChar w:fldCharType="separate"/>
          </w:r>
          <w:r>
            <w:t>1</w:t>
          </w:r>
          <w:r>
            <w:fldChar w:fldCharType="end"/>
          </w:r>
          <w:r>
            <w:rPr>
              <w:rFonts w:hint="eastAsia" w:ascii="宋体" w:hAnsi="宋体" w:eastAsia="宋体" w:cs="宋体"/>
              <w:szCs w:val="24"/>
            </w:rPr>
            <w:fldChar w:fldCharType="end"/>
          </w:r>
        </w:p>
        <w:p w14:paraId="4FA77F0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_Toc15601 </w:instrText>
          </w:r>
          <w:r>
            <w:rPr>
              <w:rFonts w:hint="eastAsia" w:ascii="宋体" w:hAnsi="宋体" w:eastAsia="宋体" w:cs="宋体"/>
              <w:szCs w:val="24"/>
            </w:rPr>
            <w:fldChar w:fldCharType="separate"/>
          </w:r>
          <w:r>
            <w:rPr>
              <w:rFonts w:hint="eastAsia"/>
              <w:lang w:val="en-US" w:eastAsia="zh-CN"/>
            </w:rPr>
            <w:t>服务级别管理制度</w:t>
          </w:r>
          <w:r>
            <w:tab/>
          </w:r>
          <w:r>
            <w:fldChar w:fldCharType="begin"/>
          </w:r>
          <w:r>
            <w:instrText xml:space="preserve"> PAGEREF _Toc15601 \h </w:instrText>
          </w:r>
          <w:r>
            <w:fldChar w:fldCharType="separate"/>
          </w:r>
          <w:r>
            <w:t>1</w:t>
          </w:r>
          <w:r>
            <w:fldChar w:fldCharType="end"/>
          </w:r>
          <w:r>
            <w:rPr>
              <w:rFonts w:hint="eastAsia" w:ascii="宋体" w:hAnsi="宋体" w:eastAsia="宋体" w:cs="宋体"/>
              <w:szCs w:val="24"/>
            </w:rPr>
            <w:fldChar w:fldCharType="end"/>
          </w:r>
        </w:p>
        <w:p w14:paraId="478302E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_Toc11936 </w:instrText>
          </w:r>
          <w:r>
            <w:rPr>
              <w:rFonts w:hint="eastAsia" w:ascii="宋体" w:hAnsi="宋体" w:eastAsia="宋体" w:cs="宋体"/>
              <w:szCs w:val="24"/>
            </w:rPr>
            <w:fldChar w:fldCharType="separate"/>
          </w:r>
          <w:r>
            <w:rPr>
              <w:rFonts w:hint="default"/>
              <w:lang w:val="en-US" w:eastAsia="zh-CN"/>
            </w:rPr>
            <w:t>1. 总则</w:t>
          </w:r>
          <w:r>
            <w:tab/>
          </w:r>
          <w:r>
            <w:fldChar w:fldCharType="begin"/>
          </w:r>
          <w:r>
            <w:instrText xml:space="preserve"> PAGEREF _Toc11936 \h </w:instrText>
          </w:r>
          <w:r>
            <w:fldChar w:fldCharType="separate"/>
          </w:r>
          <w:r>
            <w:t>5</w:t>
          </w:r>
          <w:r>
            <w:fldChar w:fldCharType="end"/>
          </w:r>
          <w:r>
            <w:rPr>
              <w:rFonts w:hint="eastAsia" w:ascii="宋体" w:hAnsi="宋体" w:eastAsia="宋体" w:cs="宋体"/>
              <w:szCs w:val="24"/>
            </w:rPr>
            <w:fldChar w:fldCharType="end"/>
          </w:r>
        </w:p>
        <w:p w14:paraId="0A15217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_Toc24242 </w:instrText>
          </w:r>
          <w:r>
            <w:rPr>
              <w:rFonts w:hint="eastAsia" w:ascii="宋体" w:hAnsi="宋体" w:eastAsia="宋体" w:cs="宋体"/>
              <w:szCs w:val="24"/>
            </w:rPr>
            <w:fldChar w:fldCharType="separate"/>
          </w:r>
          <w:r>
            <w:rPr>
              <w:rFonts w:hint="default"/>
              <w:lang w:val="en-US" w:eastAsia="zh-CN"/>
            </w:rPr>
            <w:t>1.1. 目的</w:t>
          </w:r>
          <w:r>
            <w:tab/>
          </w:r>
          <w:r>
            <w:fldChar w:fldCharType="begin"/>
          </w:r>
          <w:r>
            <w:instrText xml:space="preserve"> PAGEREF _Toc24242 \h </w:instrText>
          </w:r>
          <w:r>
            <w:fldChar w:fldCharType="separate"/>
          </w:r>
          <w:r>
            <w:t>5</w:t>
          </w:r>
          <w:r>
            <w:fldChar w:fldCharType="end"/>
          </w:r>
          <w:r>
            <w:rPr>
              <w:rFonts w:hint="eastAsia" w:ascii="宋体" w:hAnsi="宋体" w:eastAsia="宋体" w:cs="宋体"/>
              <w:szCs w:val="24"/>
            </w:rPr>
            <w:fldChar w:fldCharType="end"/>
          </w:r>
        </w:p>
        <w:p w14:paraId="5CD3E00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_Toc14799 </w:instrText>
          </w:r>
          <w:r>
            <w:rPr>
              <w:rFonts w:hint="eastAsia" w:ascii="宋体" w:hAnsi="宋体" w:eastAsia="宋体" w:cs="宋体"/>
              <w:szCs w:val="24"/>
            </w:rPr>
            <w:fldChar w:fldCharType="separate"/>
          </w:r>
          <w:r>
            <w:rPr>
              <w:rFonts w:hint="default"/>
              <w:lang w:val="en-US" w:eastAsia="zh-CN"/>
            </w:rPr>
            <w:t>1.2. 适用范围</w:t>
          </w:r>
          <w:r>
            <w:tab/>
          </w:r>
          <w:r>
            <w:fldChar w:fldCharType="begin"/>
          </w:r>
          <w:r>
            <w:instrText xml:space="preserve"> PAGEREF _Toc14799 \h </w:instrText>
          </w:r>
          <w:r>
            <w:fldChar w:fldCharType="separate"/>
          </w:r>
          <w:r>
            <w:t>5</w:t>
          </w:r>
          <w:r>
            <w:fldChar w:fldCharType="end"/>
          </w:r>
          <w:r>
            <w:rPr>
              <w:rFonts w:hint="eastAsia" w:ascii="宋体" w:hAnsi="宋体" w:eastAsia="宋体" w:cs="宋体"/>
              <w:szCs w:val="24"/>
            </w:rPr>
            <w:fldChar w:fldCharType="end"/>
          </w:r>
        </w:p>
        <w:p w14:paraId="393B65F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_Toc13933 </w:instrText>
          </w:r>
          <w:r>
            <w:rPr>
              <w:rFonts w:hint="eastAsia" w:ascii="宋体" w:hAnsi="宋体" w:eastAsia="宋体" w:cs="宋体"/>
              <w:szCs w:val="24"/>
            </w:rPr>
            <w:fldChar w:fldCharType="separate"/>
          </w:r>
          <w:r>
            <w:rPr>
              <w:rFonts w:hint="default"/>
              <w:lang w:val="en-US" w:eastAsia="zh-CN"/>
            </w:rPr>
            <w:t>1.3. 术语与定义</w:t>
          </w:r>
          <w:r>
            <w:tab/>
          </w:r>
          <w:r>
            <w:fldChar w:fldCharType="begin"/>
          </w:r>
          <w:r>
            <w:instrText xml:space="preserve"> PAGEREF _Toc13933 \h </w:instrText>
          </w:r>
          <w:r>
            <w:fldChar w:fldCharType="separate"/>
          </w:r>
          <w:r>
            <w:t>5</w:t>
          </w:r>
          <w:r>
            <w:fldChar w:fldCharType="end"/>
          </w:r>
          <w:r>
            <w:rPr>
              <w:rFonts w:hint="eastAsia" w:ascii="宋体" w:hAnsi="宋体" w:eastAsia="宋体" w:cs="宋体"/>
              <w:szCs w:val="24"/>
            </w:rPr>
            <w:fldChar w:fldCharType="end"/>
          </w:r>
        </w:p>
        <w:p w14:paraId="508C2CB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_Toc26337 </w:instrText>
          </w:r>
          <w:r>
            <w:rPr>
              <w:rFonts w:hint="eastAsia" w:ascii="宋体" w:hAnsi="宋体" w:eastAsia="宋体" w:cs="宋体"/>
              <w:szCs w:val="24"/>
            </w:rPr>
            <w:fldChar w:fldCharType="separate"/>
          </w:r>
          <w:r>
            <w:rPr>
              <w:rFonts w:hint="default"/>
              <w:lang w:val="en-US" w:eastAsia="zh-CN"/>
            </w:rPr>
            <w:t>2. 职责分工</w:t>
          </w:r>
          <w:r>
            <w:tab/>
          </w:r>
          <w:r>
            <w:fldChar w:fldCharType="begin"/>
          </w:r>
          <w:r>
            <w:instrText xml:space="preserve"> PAGEREF _Toc26337 \h </w:instrText>
          </w:r>
          <w:r>
            <w:fldChar w:fldCharType="separate"/>
          </w:r>
          <w:r>
            <w:t>5</w:t>
          </w:r>
          <w:r>
            <w:fldChar w:fldCharType="end"/>
          </w:r>
          <w:r>
            <w:rPr>
              <w:rFonts w:hint="eastAsia" w:ascii="宋体" w:hAnsi="宋体" w:eastAsia="宋体" w:cs="宋体"/>
              <w:szCs w:val="24"/>
            </w:rPr>
            <w:fldChar w:fldCharType="end"/>
          </w:r>
        </w:p>
        <w:p w14:paraId="3354256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_Toc12813 </w:instrText>
          </w:r>
          <w:r>
            <w:rPr>
              <w:rFonts w:hint="eastAsia" w:ascii="宋体" w:hAnsi="宋体" w:eastAsia="宋体" w:cs="宋体"/>
              <w:szCs w:val="24"/>
            </w:rPr>
            <w:fldChar w:fldCharType="separate"/>
          </w:r>
          <w:r>
            <w:rPr>
              <w:rFonts w:hint="default"/>
              <w:lang w:val="en-US" w:eastAsia="zh-CN"/>
            </w:rPr>
            <w:t>2.1. 数智运营部</w:t>
          </w:r>
          <w:r>
            <w:tab/>
          </w:r>
          <w:r>
            <w:fldChar w:fldCharType="begin"/>
          </w:r>
          <w:r>
            <w:instrText xml:space="preserve"> PAGEREF _Toc12813 \h </w:instrText>
          </w:r>
          <w:r>
            <w:fldChar w:fldCharType="separate"/>
          </w:r>
          <w:r>
            <w:t>5</w:t>
          </w:r>
          <w:r>
            <w:fldChar w:fldCharType="end"/>
          </w:r>
          <w:r>
            <w:rPr>
              <w:rFonts w:hint="eastAsia" w:ascii="宋体" w:hAnsi="宋体" w:eastAsia="宋体" w:cs="宋体"/>
              <w:szCs w:val="24"/>
            </w:rPr>
            <w:fldChar w:fldCharType="end"/>
          </w:r>
        </w:p>
        <w:p w14:paraId="5076CCD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_Toc3232 </w:instrText>
          </w:r>
          <w:r>
            <w:rPr>
              <w:rFonts w:hint="eastAsia" w:ascii="宋体" w:hAnsi="宋体" w:eastAsia="宋体" w:cs="宋体"/>
              <w:szCs w:val="24"/>
            </w:rPr>
            <w:fldChar w:fldCharType="separate"/>
          </w:r>
          <w:r>
            <w:rPr>
              <w:rFonts w:hint="default"/>
              <w:lang w:val="en-US" w:eastAsia="zh-CN"/>
            </w:rPr>
            <w:t>2.2. 运维项目经理</w:t>
          </w:r>
          <w:r>
            <w:tab/>
          </w:r>
          <w:r>
            <w:fldChar w:fldCharType="begin"/>
          </w:r>
          <w:r>
            <w:instrText xml:space="preserve"> PAGEREF _Toc3232 \h </w:instrText>
          </w:r>
          <w:r>
            <w:fldChar w:fldCharType="separate"/>
          </w:r>
          <w:r>
            <w:t>6</w:t>
          </w:r>
          <w:r>
            <w:fldChar w:fldCharType="end"/>
          </w:r>
          <w:r>
            <w:rPr>
              <w:rFonts w:hint="eastAsia" w:ascii="宋体" w:hAnsi="宋体" w:eastAsia="宋体" w:cs="宋体"/>
              <w:szCs w:val="24"/>
            </w:rPr>
            <w:fldChar w:fldCharType="end"/>
          </w:r>
        </w:p>
        <w:p w14:paraId="092E907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_Toc5013 </w:instrText>
          </w:r>
          <w:r>
            <w:rPr>
              <w:rFonts w:hint="eastAsia" w:ascii="宋体" w:hAnsi="宋体" w:eastAsia="宋体" w:cs="宋体"/>
              <w:szCs w:val="24"/>
            </w:rPr>
            <w:fldChar w:fldCharType="separate"/>
          </w:r>
          <w:r>
            <w:rPr>
              <w:rFonts w:hint="default"/>
              <w:lang w:val="en-US" w:eastAsia="zh-CN"/>
            </w:rPr>
            <w:t>2.3. 质量管理部</w:t>
          </w:r>
          <w:r>
            <w:tab/>
          </w:r>
          <w:r>
            <w:fldChar w:fldCharType="begin"/>
          </w:r>
          <w:r>
            <w:instrText xml:space="preserve"> PAGEREF _Toc5013 \h </w:instrText>
          </w:r>
          <w:r>
            <w:fldChar w:fldCharType="separate"/>
          </w:r>
          <w:r>
            <w:t>6</w:t>
          </w:r>
          <w:r>
            <w:fldChar w:fldCharType="end"/>
          </w:r>
          <w:r>
            <w:rPr>
              <w:rFonts w:hint="eastAsia" w:ascii="宋体" w:hAnsi="宋体" w:eastAsia="宋体" w:cs="宋体"/>
              <w:szCs w:val="24"/>
            </w:rPr>
            <w:fldChar w:fldCharType="end"/>
          </w:r>
        </w:p>
        <w:p w14:paraId="5FC0124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_Toc6619 </w:instrText>
          </w:r>
          <w:r>
            <w:rPr>
              <w:rFonts w:hint="eastAsia" w:ascii="宋体" w:hAnsi="宋体" w:eastAsia="宋体" w:cs="宋体"/>
              <w:szCs w:val="24"/>
            </w:rPr>
            <w:fldChar w:fldCharType="separate"/>
          </w:r>
          <w:r>
            <w:rPr>
              <w:rFonts w:hint="default"/>
              <w:lang w:val="en-US" w:eastAsia="zh-CN"/>
            </w:rPr>
            <w:t>2.4. 研究总院</w:t>
          </w:r>
          <w:r>
            <w:tab/>
          </w:r>
          <w:r>
            <w:fldChar w:fldCharType="begin"/>
          </w:r>
          <w:r>
            <w:instrText xml:space="preserve"> PAGEREF _Toc6619 \h </w:instrText>
          </w:r>
          <w:r>
            <w:fldChar w:fldCharType="separate"/>
          </w:r>
          <w:r>
            <w:t>6</w:t>
          </w:r>
          <w:r>
            <w:fldChar w:fldCharType="end"/>
          </w:r>
          <w:r>
            <w:rPr>
              <w:rFonts w:hint="eastAsia" w:ascii="宋体" w:hAnsi="宋体" w:eastAsia="宋体" w:cs="宋体"/>
              <w:szCs w:val="24"/>
            </w:rPr>
            <w:fldChar w:fldCharType="end"/>
          </w:r>
        </w:p>
        <w:p w14:paraId="0EB71E8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_Toc22537 </w:instrText>
          </w:r>
          <w:r>
            <w:rPr>
              <w:rFonts w:hint="eastAsia" w:ascii="宋体" w:hAnsi="宋体" w:eastAsia="宋体" w:cs="宋体"/>
              <w:szCs w:val="24"/>
            </w:rPr>
            <w:fldChar w:fldCharType="separate"/>
          </w:r>
          <w:r>
            <w:rPr>
              <w:rFonts w:hint="default"/>
              <w:lang w:val="en-US" w:eastAsia="zh-CN"/>
            </w:rPr>
            <w:t>3. 管理流程概述</w:t>
          </w:r>
          <w:r>
            <w:tab/>
          </w:r>
          <w:r>
            <w:fldChar w:fldCharType="begin"/>
          </w:r>
          <w:r>
            <w:instrText xml:space="preserve"> PAGEREF _Toc22537 \h </w:instrText>
          </w:r>
          <w:r>
            <w:fldChar w:fldCharType="separate"/>
          </w:r>
          <w:r>
            <w:t>6</w:t>
          </w:r>
          <w:r>
            <w:fldChar w:fldCharType="end"/>
          </w:r>
          <w:r>
            <w:rPr>
              <w:rFonts w:hint="eastAsia" w:ascii="宋体" w:hAnsi="宋体" w:eastAsia="宋体" w:cs="宋体"/>
              <w:szCs w:val="24"/>
            </w:rPr>
            <w:fldChar w:fldCharType="end"/>
          </w:r>
        </w:p>
        <w:p w14:paraId="5F00878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_Toc819 </w:instrText>
          </w:r>
          <w:r>
            <w:rPr>
              <w:rFonts w:hint="eastAsia" w:ascii="宋体" w:hAnsi="宋体" w:eastAsia="宋体" w:cs="宋体"/>
              <w:szCs w:val="24"/>
            </w:rPr>
            <w:fldChar w:fldCharType="separate"/>
          </w:r>
          <w:r>
            <w:rPr>
              <w:rFonts w:hint="default"/>
              <w:lang w:val="en-US" w:eastAsia="zh-CN"/>
            </w:rPr>
            <w:t>3.1. 流程原则</w:t>
          </w:r>
          <w:r>
            <w:tab/>
          </w:r>
          <w:r>
            <w:fldChar w:fldCharType="begin"/>
          </w:r>
          <w:r>
            <w:instrText xml:space="preserve"> PAGEREF _Toc819 \h </w:instrText>
          </w:r>
          <w:r>
            <w:fldChar w:fldCharType="separate"/>
          </w:r>
          <w:r>
            <w:t>6</w:t>
          </w:r>
          <w:r>
            <w:fldChar w:fldCharType="end"/>
          </w:r>
          <w:r>
            <w:rPr>
              <w:rFonts w:hint="eastAsia" w:ascii="宋体" w:hAnsi="宋体" w:eastAsia="宋体" w:cs="宋体"/>
              <w:szCs w:val="24"/>
            </w:rPr>
            <w:fldChar w:fldCharType="end"/>
          </w:r>
        </w:p>
        <w:p w14:paraId="54678D8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_Toc1669 </w:instrText>
          </w:r>
          <w:r>
            <w:rPr>
              <w:rFonts w:hint="eastAsia" w:ascii="宋体" w:hAnsi="宋体" w:eastAsia="宋体" w:cs="宋体"/>
              <w:szCs w:val="24"/>
            </w:rPr>
            <w:fldChar w:fldCharType="separate"/>
          </w:r>
          <w:r>
            <w:rPr>
              <w:rFonts w:hint="default"/>
              <w:lang w:val="en-US" w:eastAsia="zh-CN"/>
            </w:rPr>
            <w:t>3.2. 流程输入与输出</w:t>
          </w:r>
          <w:r>
            <w:tab/>
          </w:r>
          <w:r>
            <w:fldChar w:fldCharType="begin"/>
          </w:r>
          <w:r>
            <w:instrText xml:space="preserve"> PAGEREF _Toc1669 \h </w:instrText>
          </w:r>
          <w:r>
            <w:fldChar w:fldCharType="separate"/>
          </w:r>
          <w:r>
            <w:t>6</w:t>
          </w:r>
          <w:r>
            <w:fldChar w:fldCharType="end"/>
          </w:r>
          <w:r>
            <w:rPr>
              <w:rFonts w:hint="eastAsia" w:ascii="宋体" w:hAnsi="宋体" w:eastAsia="宋体" w:cs="宋体"/>
              <w:szCs w:val="24"/>
            </w:rPr>
            <w:fldChar w:fldCharType="end"/>
          </w:r>
        </w:p>
        <w:p w14:paraId="659C524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_Toc3146 </w:instrText>
          </w:r>
          <w:r>
            <w:rPr>
              <w:rFonts w:hint="eastAsia" w:ascii="宋体" w:hAnsi="宋体" w:eastAsia="宋体" w:cs="宋体"/>
              <w:szCs w:val="24"/>
            </w:rPr>
            <w:fldChar w:fldCharType="separate"/>
          </w:r>
          <w:r>
            <w:rPr>
              <w:rFonts w:hint="default"/>
              <w:lang w:val="en-US" w:eastAsia="zh-CN"/>
            </w:rPr>
            <w:t>4. 活动说明</w:t>
          </w:r>
          <w:r>
            <w:tab/>
          </w:r>
          <w:r>
            <w:fldChar w:fldCharType="begin"/>
          </w:r>
          <w:r>
            <w:instrText xml:space="preserve"> PAGEREF _Toc3146 \h </w:instrText>
          </w:r>
          <w:r>
            <w:fldChar w:fldCharType="separate"/>
          </w:r>
          <w:r>
            <w:t>7</w:t>
          </w:r>
          <w:r>
            <w:fldChar w:fldCharType="end"/>
          </w:r>
          <w:r>
            <w:rPr>
              <w:rFonts w:hint="eastAsia" w:ascii="宋体" w:hAnsi="宋体" w:eastAsia="宋体" w:cs="宋体"/>
              <w:szCs w:val="24"/>
            </w:rPr>
            <w:fldChar w:fldCharType="end"/>
          </w:r>
        </w:p>
        <w:p w14:paraId="51F8CE4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_Toc12605 </w:instrText>
          </w:r>
          <w:r>
            <w:rPr>
              <w:rFonts w:hint="eastAsia" w:ascii="宋体" w:hAnsi="宋体" w:eastAsia="宋体" w:cs="宋体"/>
              <w:szCs w:val="24"/>
            </w:rPr>
            <w:fldChar w:fldCharType="separate"/>
          </w:r>
          <w:r>
            <w:rPr>
              <w:rFonts w:hint="default"/>
              <w:lang w:val="en-US" w:eastAsia="zh-CN"/>
            </w:rPr>
            <w:t>4.1. 识别与确认客户需求</w:t>
          </w:r>
          <w:r>
            <w:tab/>
          </w:r>
          <w:r>
            <w:fldChar w:fldCharType="begin"/>
          </w:r>
          <w:r>
            <w:instrText xml:space="preserve"> PAGEREF _Toc12605 \h </w:instrText>
          </w:r>
          <w:r>
            <w:fldChar w:fldCharType="separate"/>
          </w:r>
          <w:r>
            <w:t>7</w:t>
          </w:r>
          <w:r>
            <w:fldChar w:fldCharType="end"/>
          </w:r>
          <w:r>
            <w:rPr>
              <w:rFonts w:hint="eastAsia" w:ascii="宋体" w:hAnsi="宋体" w:eastAsia="宋体" w:cs="宋体"/>
              <w:szCs w:val="24"/>
            </w:rPr>
            <w:fldChar w:fldCharType="end"/>
          </w:r>
        </w:p>
        <w:p w14:paraId="62DD521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_Toc12115 </w:instrText>
          </w:r>
          <w:r>
            <w:rPr>
              <w:rFonts w:hint="eastAsia" w:ascii="宋体" w:hAnsi="宋体" w:eastAsia="宋体" w:cs="宋体"/>
              <w:szCs w:val="24"/>
            </w:rPr>
            <w:fldChar w:fldCharType="separate"/>
          </w:r>
          <w:r>
            <w:rPr>
              <w:rFonts w:hint="default"/>
              <w:lang w:val="en-US" w:eastAsia="zh-CN"/>
            </w:rPr>
            <w:t>4.2. 定义与协商服务级别</w:t>
          </w:r>
          <w:r>
            <w:tab/>
          </w:r>
          <w:r>
            <w:fldChar w:fldCharType="begin"/>
          </w:r>
          <w:r>
            <w:instrText xml:space="preserve"> PAGEREF _Toc12115 \h </w:instrText>
          </w:r>
          <w:r>
            <w:fldChar w:fldCharType="separate"/>
          </w:r>
          <w:r>
            <w:t>7</w:t>
          </w:r>
          <w:r>
            <w:fldChar w:fldCharType="end"/>
          </w:r>
          <w:r>
            <w:rPr>
              <w:rFonts w:hint="eastAsia" w:ascii="宋体" w:hAnsi="宋体" w:eastAsia="宋体" w:cs="宋体"/>
              <w:szCs w:val="24"/>
            </w:rPr>
            <w:fldChar w:fldCharType="end"/>
          </w:r>
        </w:p>
        <w:p w14:paraId="7ADFF56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_Toc32562 </w:instrText>
          </w:r>
          <w:r>
            <w:rPr>
              <w:rFonts w:hint="eastAsia" w:ascii="宋体" w:hAnsi="宋体" w:eastAsia="宋体" w:cs="宋体"/>
              <w:szCs w:val="24"/>
            </w:rPr>
            <w:fldChar w:fldCharType="separate"/>
          </w:r>
          <w:r>
            <w:rPr>
              <w:rFonts w:hint="default"/>
              <w:lang w:val="en-US" w:eastAsia="zh-CN"/>
            </w:rPr>
            <w:t>4.3. 签订服务级别协议（SLA）</w:t>
          </w:r>
          <w:r>
            <w:tab/>
          </w:r>
          <w:r>
            <w:fldChar w:fldCharType="begin"/>
          </w:r>
          <w:r>
            <w:instrText xml:space="preserve"> PAGEREF _Toc32562 \h </w:instrText>
          </w:r>
          <w:r>
            <w:fldChar w:fldCharType="separate"/>
          </w:r>
          <w:r>
            <w:t>7</w:t>
          </w:r>
          <w:r>
            <w:fldChar w:fldCharType="end"/>
          </w:r>
          <w:r>
            <w:rPr>
              <w:rFonts w:hint="eastAsia" w:ascii="宋体" w:hAnsi="宋体" w:eastAsia="宋体" w:cs="宋体"/>
              <w:szCs w:val="24"/>
            </w:rPr>
            <w:fldChar w:fldCharType="end"/>
          </w:r>
        </w:p>
        <w:p w14:paraId="3C7C83E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_Toc15968 </w:instrText>
          </w:r>
          <w:r>
            <w:rPr>
              <w:rFonts w:hint="eastAsia" w:ascii="宋体" w:hAnsi="宋体" w:eastAsia="宋体" w:cs="宋体"/>
              <w:szCs w:val="24"/>
            </w:rPr>
            <w:fldChar w:fldCharType="separate"/>
          </w:r>
          <w:r>
            <w:rPr>
              <w:rFonts w:hint="default"/>
              <w:lang w:val="en-US" w:eastAsia="zh-CN"/>
            </w:rPr>
            <w:t>4.4. SLA的实施、监控与报告</w:t>
          </w:r>
          <w:r>
            <w:tab/>
          </w:r>
          <w:r>
            <w:fldChar w:fldCharType="begin"/>
          </w:r>
          <w:r>
            <w:instrText xml:space="preserve"> PAGEREF _Toc15968 \h </w:instrText>
          </w:r>
          <w:r>
            <w:fldChar w:fldCharType="separate"/>
          </w:r>
          <w:r>
            <w:t>7</w:t>
          </w:r>
          <w:r>
            <w:fldChar w:fldCharType="end"/>
          </w:r>
          <w:r>
            <w:rPr>
              <w:rFonts w:hint="eastAsia" w:ascii="宋体" w:hAnsi="宋体" w:eastAsia="宋体" w:cs="宋体"/>
              <w:szCs w:val="24"/>
            </w:rPr>
            <w:fldChar w:fldCharType="end"/>
          </w:r>
        </w:p>
        <w:p w14:paraId="6136151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_Toc3300 </w:instrText>
          </w:r>
          <w:r>
            <w:rPr>
              <w:rFonts w:hint="eastAsia" w:ascii="宋体" w:hAnsi="宋体" w:eastAsia="宋体" w:cs="宋体"/>
              <w:szCs w:val="24"/>
            </w:rPr>
            <w:fldChar w:fldCharType="separate"/>
          </w:r>
          <w:r>
            <w:rPr>
              <w:rFonts w:hint="default"/>
              <w:lang w:val="en-US" w:eastAsia="zh-CN"/>
            </w:rPr>
            <w:t>4.5. 服务级别的定期评审与改进</w:t>
          </w:r>
          <w:r>
            <w:tab/>
          </w:r>
          <w:r>
            <w:fldChar w:fldCharType="begin"/>
          </w:r>
          <w:r>
            <w:instrText xml:space="preserve"> PAGEREF _Toc3300 \h </w:instrText>
          </w:r>
          <w:r>
            <w:fldChar w:fldCharType="separate"/>
          </w:r>
          <w:r>
            <w:t>8</w:t>
          </w:r>
          <w:r>
            <w:fldChar w:fldCharType="end"/>
          </w:r>
          <w:r>
            <w:rPr>
              <w:rFonts w:hint="eastAsia" w:ascii="宋体" w:hAnsi="宋体" w:eastAsia="宋体" w:cs="宋体"/>
              <w:szCs w:val="24"/>
            </w:rPr>
            <w:fldChar w:fldCharType="end"/>
          </w:r>
        </w:p>
        <w:p w14:paraId="26C2B11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_Toc29662 </w:instrText>
          </w:r>
          <w:r>
            <w:rPr>
              <w:rFonts w:hint="eastAsia" w:ascii="宋体" w:hAnsi="宋体" w:eastAsia="宋体" w:cs="宋体"/>
              <w:szCs w:val="24"/>
            </w:rPr>
            <w:fldChar w:fldCharType="separate"/>
          </w:r>
          <w:r>
            <w:rPr>
              <w:rFonts w:hint="default"/>
              <w:lang w:val="en-US" w:eastAsia="zh-CN"/>
            </w:rPr>
            <w:t>5. 关键成功因素与风险控制</w:t>
          </w:r>
          <w:r>
            <w:tab/>
          </w:r>
          <w:r>
            <w:fldChar w:fldCharType="begin"/>
          </w:r>
          <w:r>
            <w:instrText xml:space="preserve"> PAGEREF _Toc29662 \h </w:instrText>
          </w:r>
          <w:r>
            <w:fldChar w:fldCharType="separate"/>
          </w:r>
          <w:r>
            <w:t>8</w:t>
          </w:r>
          <w:r>
            <w:fldChar w:fldCharType="end"/>
          </w:r>
          <w:r>
            <w:rPr>
              <w:rFonts w:hint="eastAsia" w:ascii="宋体" w:hAnsi="宋体" w:eastAsia="宋体" w:cs="宋体"/>
              <w:szCs w:val="24"/>
            </w:rPr>
            <w:fldChar w:fldCharType="end"/>
          </w:r>
        </w:p>
        <w:p w14:paraId="3E479C7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_Toc9037 </w:instrText>
          </w:r>
          <w:r>
            <w:rPr>
              <w:rFonts w:hint="eastAsia" w:ascii="宋体" w:hAnsi="宋体" w:eastAsia="宋体" w:cs="宋体"/>
              <w:szCs w:val="24"/>
            </w:rPr>
            <w:fldChar w:fldCharType="separate"/>
          </w:r>
          <w:r>
            <w:rPr>
              <w:rFonts w:hint="default"/>
              <w:lang w:val="en-US" w:eastAsia="zh-CN"/>
            </w:rPr>
            <w:t>5.1. 关键成功因素</w:t>
          </w:r>
          <w:r>
            <w:tab/>
          </w:r>
          <w:r>
            <w:fldChar w:fldCharType="begin"/>
          </w:r>
          <w:r>
            <w:instrText xml:space="preserve"> PAGEREF _Toc9037 \h </w:instrText>
          </w:r>
          <w:r>
            <w:fldChar w:fldCharType="separate"/>
          </w:r>
          <w:r>
            <w:t>8</w:t>
          </w:r>
          <w:r>
            <w:fldChar w:fldCharType="end"/>
          </w:r>
          <w:r>
            <w:rPr>
              <w:rFonts w:hint="eastAsia" w:ascii="宋体" w:hAnsi="宋体" w:eastAsia="宋体" w:cs="宋体"/>
              <w:szCs w:val="24"/>
            </w:rPr>
            <w:fldChar w:fldCharType="end"/>
          </w:r>
        </w:p>
        <w:p w14:paraId="69B30C3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_Toc5144 </w:instrText>
          </w:r>
          <w:r>
            <w:rPr>
              <w:rFonts w:hint="eastAsia" w:ascii="宋体" w:hAnsi="宋体" w:eastAsia="宋体" w:cs="宋体"/>
              <w:szCs w:val="24"/>
            </w:rPr>
            <w:fldChar w:fldCharType="separate"/>
          </w:r>
          <w:r>
            <w:rPr>
              <w:rFonts w:hint="default"/>
              <w:lang w:val="en-US" w:eastAsia="zh-CN"/>
            </w:rPr>
            <w:t>5.2. 可能存在的风险</w:t>
          </w:r>
          <w:r>
            <w:tab/>
          </w:r>
          <w:r>
            <w:fldChar w:fldCharType="begin"/>
          </w:r>
          <w:r>
            <w:instrText xml:space="preserve"> PAGEREF _Toc5144 \h </w:instrText>
          </w:r>
          <w:r>
            <w:fldChar w:fldCharType="separate"/>
          </w:r>
          <w:r>
            <w:t>8</w:t>
          </w:r>
          <w:r>
            <w:fldChar w:fldCharType="end"/>
          </w:r>
          <w:r>
            <w:rPr>
              <w:rFonts w:hint="eastAsia" w:ascii="宋体" w:hAnsi="宋体" w:eastAsia="宋体" w:cs="宋体"/>
              <w:szCs w:val="24"/>
            </w:rPr>
            <w:fldChar w:fldCharType="end"/>
          </w:r>
        </w:p>
        <w:p w14:paraId="5F57969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_Toc32737 </w:instrText>
          </w:r>
          <w:r>
            <w:rPr>
              <w:rFonts w:hint="eastAsia" w:ascii="宋体" w:hAnsi="宋体" w:eastAsia="宋体" w:cs="宋体"/>
              <w:szCs w:val="24"/>
            </w:rPr>
            <w:fldChar w:fldCharType="separate"/>
          </w:r>
          <w:r>
            <w:rPr>
              <w:rFonts w:hint="default"/>
              <w:lang w:val="en-US" w:eastAsia="zh-CN"/>
            </w:rPr>
            <w:t>6. 与其他流程的接口关系</w:t>
          </w:r>
          <w:r>
            <w:tab/>
          </w:r>
          <w:r>
            <w:fldChar w:fldCharType="begin"/>
          </w:r>
          <w:r>
            <w:instrText xml:space="preserve"> PAGEREF _Toc32737 \h </w:instrText>
          </w:r>
          <w:r>
            <w:fldChar w:fldCharType="separate"/>
          </w:r>
          <w:r>
            <w:t>8</w:t>
          </w:r>
          <w:r>
            <w:fldChar w:fldCharType="end"/>
          </w:r>
          <w:r>
            <w:rPr>
              <w:rFonts w:hint="eastAsia" w:ascii="宋体" w:hAnsi="宋体" w:eastAsia="宋体" w:cs="宋体"/>
              <w:szCs w:val="24"/>
            </w:rPr>
            <w:fldChar w:fldCharType="end"/>
          </w:r>
        </w:p>
        <w:p w14:paraId="23245C3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_Toc4030 </w:instrText>
          </w:r>
          <w:r>
            <w:rPr>
              <w:rFonts w:hint="eastAsia" w:ascii="宋体" w:hAnsi="宋体" w:eastAsia="宋体" w:cs="宋体"/>
              <w:szCs w:val="24"/>
            </w:rPr>
            <w:fldChar w:fldCharType="separate"/>
          </w:r>
          <w:r>
            <w:rPr>
              <w:rFonts w:hint="default"/>
              <w:lang w:val="en-US" w:eastAsia="zh-CN"/>
            </w:rPr>
            <w:t>6.1. 与事件管理、问题管理流程</w:t>
          </w:r>
          <w:r>
            <w:tab/>
          </w:r>
          <w:r>
            <w:fldChar w:fldCharType="begin"/>
          </w:r>
          <w:r>
            <w:instrText xml:space="preserve"> PAGEREF _Toc4030 \h </w:instrText>
          </w:r>
          <w:r>
            <w:fldChar w:fldCharType="separate"/>
          </w:r>
          <w:r>
            <w:t>8</w:t>
          </w:r>
          <w:r>
            <w:fldChar w:fldCharType="end"/>
          </w:r>
          <w:r>
            <w:rPr>
              <w:rFonts w:hint="eastAsia" w:ascii="宋体" w:hAnsi="宋体" w:eastAsia="宋体" w:cs="宋体"/>
              <w:szCs w:val="24"/>
            </w:rPr>
            <w:fldChar w:fldCharType="end"/>
          </w:r>
        </w:p>
        <w:p w14:paraId="02ED012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_Toc32107 </w:instrText>
          </w:r>
          <w:r>
            <w:rPr>
              <w:rFonts w:hint="eastAsia" w:ascii="宋体" w:hAnsi="宋体" w:eastAsia="宋体" w:cs="宋体"/>
              <w:szCs w:val="24"/>
            </w:rPr>
            <w:fldChar w:fldCharType="separate"/>
          </w:r>
          <w:r>
            <w:rPr>
              <w:rFonts w:hint="default"/>
              <w:lang w:val="en-US" w:eastAsia="zh-CN"/>
            </w:rPr>
            <w:t>6.2. 与变更管理、发布管理流程</w:t>
          </w:r>
          <w:r>
            <w:tab/>
          </w:r>
          <w:r>
            <w:fldChar w:fldCharType="begin"/>
          </w:r>
          <w:r>
            <w:instrText xml:space="preserve"> PAGEREF _Toc32107 \h </w:instrText>
          </w:r>
          <w:r>
            <w:fldChar w:fldCharType="separate"/>
          </w:r>
          <w:r>
            <w:t>9</w:t>
          </w:r>
          <w:r>
            <w:fldChar w:fldCharType="end"/>
          </w:r>
          <w:r>
            <w:rPr>
              <w:rFonts w:hint="eastAsia" w:ascii="宋体" w:hAnsi="宋体" w:eastAsia="宋体" w:cs="宋体"/>
              <w:szCs w:val="24"/>
            </w:rPr>
            <w:fldChar w:fldCharType="end"/>
          </w:r>
        </w:p>
        <w:p w14:paraId="0F74F3A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_Toc22471 </w:instrText>
          </w:r>
          <w:r>
            <w:rPr>
              <w:rFonts w:hint="eastAsia" w:ascii="宋体" w:hAnsi="宋体" w:eastAsia="宋体" w:cs="宋体"/>
              <w:szCs w:val="24"/>
            </w:rPr>
            <w:fldChar w:fldCharType="separate"/>
          </w:r>
          <w:r>
            <w:rPr>
              <w:rFonts w:hint="default"/>
              <w:lang w:val="en-US" w:eastAsia="zh-CN"/>
            </w:rPr>
            <w:t>6.3. 与服务报告、知识管理流程</w:t>
          </w:r>
          <w:r>
            <w:tab/>
          </w:r>
          <w:r>
            <w:fldChar w:fldCharType="begin"/>
          </w:r>
          <w:r>
            <w:instrText xml:space="preserve"> PAGEREF _Toc22471 \h </w:instrText>
          </w:r>
          <w:r>
            <w:fldChar w:fldCharType="separate"/>
          </w:r>
          <w:r>
            <w:t>9</w:t>
          </w:r>
          <w:r>
            <w:fldChar w:fldCharType="end"/>
          </w:r>
          <w:r>
            <w:rPr>
              <w:rFonts w:hint="eastAsia" w:ascii="宋体" w:hAnsi="宋体" w:eastAsia="宋体" w:cs="宋体"/>
              <w:szCs w:val="24"/>
            </w:rPr>
            <w:fldChar w:fldCharType="end"/>
          </w:r>
        </w:p>
        <w:p w14:paraId="389AEB6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_Toc11520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考核指标</w:t>
          </w:r>
          <w:r>
            <w:tab/>
          </w:r>
          <w:r>
            <w:fldChar w:fldCharType="begin"/>
          </w:r>
          <w:r>
            <w:instrText xml:space="preserve"> PAGEREF _Toc11520 \h </w:instrText>
          </w:r>
          <w:r>
            <w:fldChar w:fldCharType="separate"/>
          </w:r>
          <w:r>
            <w:t>9</w:t>
          </w:r>
          <w:r>
            <w:fldChar w:fldCharType="end"/>
          </w:r>
          <w:r>
            <w:rPr>
              <w:rFonts w:hint="eastAsia" w:ascii="宋体" w:hAnsi="宋体" w:eastAsia="宋体" w:cs="宋体"/>
              <w:szCs w:val="24"/>
            </w:rPr>
            <w:fldChar w:fldCharType="end"/>
          </w:r>
        </w:p>
        <w:p w14:paraId="353911A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_Toc21787 </w:instrText>
          </w:r>
          <w:r>
            <w:rPr>
              <w:rFonts w:hint="eastAsia" w:ascii="宋体" w:hAnsi="宋体" w:eastAsia="宋体" w:cs="宋体"/>
              <w:szCs w:val="24"/>
            </w:rPr>
            <w:fldChar w:fldCharType="separate"/>
          </w:r>
          <w:r>
            <w:rPr>
              <w:rFonts w:hint="default"/>
              <w:lang w:val="en-US" w:eastAsia="zh-CN"/>
            </w:rPr>
            <w:t>8. 附则</w:t>
          </w:r>
          <w:r>
            <w:tab/>
          </w:r>
          <w:r>
            <w:fldChar w:fldCharType="begin"/>
          </w:r>
          <w:r>
            <w:instrText xml:space="preserve"> PAGEREF _Toc21787 \h </w:instrText>
          </w:r>
          <w:r>
            <w:fldChar w:fldCharType="separate"/>
          </w:r>
          <w:r>
            <w:t>9</w:t>
          </w:r>
          <w:r>
            <w:fldChar w:fldCharType="end"/>
          </w:r>
          <w:r>
            <w:rPr>
              <w:rFonts w:hint="eastAsia" w:ascii="宋体" w:hAnsi="宋体" w:eastAsia="宋体" w:cs="宋体"/>
              <w:szCs w:val="24"/>
            </w:rPr>
            <w:fldChar w:fldCharType="end"/>
          </w:r>
        </w:p>
        <w:p w14:paraId="0F4FC4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68C009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39EA1A4">
      <w:pPr>
        <w:pStyle w:val="28"/>
        <w:bidi w:val="0"/>
        <w:rPr>
          <w:rFonts w:hint="default"/>
          <w:lang w:val="en-US" w:eastAsia="zh-CN"/>
        </w:rPr>
      </w:pPr>
      <w:bookmarkStart w:id="2" w:name="_Toc11936"/>
      <w:r>
        <w:rPr>
          <w:rFonts w:hint="default"/>
          <w:lang w:val="en-US" w:eastAsia="zh-CN"/>
        </w:rPr>
        <w:t>总则</w:t>
      </w:r>
      <w:bookmarkEnd w:id="2"/>
    </w:p>
    <w:p w14:paraId="7AF77281">
      <w:pPr>
        <w:pStyle w:val="30"/>
        <w:bidi w:val="0"/>
        <w:rPr>
          <w:rFonts w:hint="default"/>
          <w:lang w:val="en-US" w:eastAsia="zh-CN"/>
        </w:rPr>
      </w:pPr>
      <w:bookmarkStart w:id="3" w:name="_Toc24242"/>
      <w:r>
        <w:rPr>
          <w:rFonts w:hint="default"/>
          <w:lang w:val="en-US" w:eastAsia="zh-CN"/>
        </w:rPr>
        <w:t>目的</w:t>
      </w:r>
      <w:bookmarkEnd w:id="3"/>
    </w:p>
    <w:p w14:paraId="38DA04D7">
      <w:pPr>
        <w:pStyle w:val="29"/>
        <w:bidi w:val="0"/>
        <w:rPr>
          <w:rFonts w:hint="default"/>
          <w:lang w:val="en-US" w:eastAsia="zh-CN"/>
        </w:rPr>
      </w:pPr>
      <w:r>
        <w:rPr>
          <w:rFonts w:hint="default"/>
          <w:lang w:val="en-US" w:eastAsia="zh-CN"/>
        </w:rPr>
        <w:t>为规范公司软件运维服务的级别管理，确保服务目标与客户业务需求及成本约束相匹配，通过对服务绩效的协商、监控、评价与持续改进，保障并提升服务质量，明确供需双方职责，提升客户满意度，特制定本制度。</w:t>
      </w:r>
    </w:p>
    <w:p w14:paraId="454CB5CF">
      <w:pPr>
        <w:pStyle w:val="30"/>
        <w:bidi w:val="0"/>
        <w:rPr>
          <w:rFonts w:hint="default"/>
          <w:lang w:val="en-US" w:eastAsia="zh-CN"/>
        </w:rPr>
      </w:pPr>
      <w:bookmarkStart w:id="4" w:name="_Toc14799"/>
      <w:r>
        <w:rPr>
          <w:rFonts w:hint="default"/>
          <w:lang w:val="en-US" w:eastAsia="zh-CN"/>
        </w:rPr>
        <w:t>适用范围</w:t>
      </w:r>
      <w:bookmarkEnd w:id="4"/>
    </w:p>
    <w:p w14:paraId="686E57B9">
      <w:pPr>
        <w:pStyle w:val="29"/>
        <w:bidi w:val="0"/>
        <w:rPr>
          <w:rFonts w:hint="default"/>
          <w:lang w:val="en-US" w:eastAsia="zh-CN"/>
        </w:rPr>
      </w:pPr>
      <w:r>
        <w:rPr>
          <w:rFonts w:hint="default"/>
          <w:lang w:val="en-US" w:eastAsia="zh-CN"/>
        </w:rPr>
        <w:t>本制度适用于公司为客户提供的所有软件运维服务项目的服务级别管理活动，包括服务级别协议（SLA）的制定、签订、监控、评审与变更。</w:t>
      </w:r>
    </w:p>
    <w:p w14:paraId="51E72FC9">
      <w:pPr>
        <w:pStyle w:val="30"/>
        <w:bidi w:val="0"/>
        <w:rPr>
          <w:rFonts w:hint="default"/>
          <w:lang w:val="en-US" w:eastAsia="zh-CN"/>
        </w:rPr>
      </w:pPr>
      <w:bookmarkStart w:id="5" w:name="_Toc13933"/>
      <w:r>
        <w:rPr>
          <w:rFonts w:hint="default"/>
          <w:lang w:val="en-US" w:eastAsia="zh-CN"/>
        </w:rPr>
        <w:t>术语与定义</w:t>
      </w:r>
      <w:bookmarkEnd w:id="5"/>
    </w:p>
    <w:p w14:paraId="5BC51A5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服务目录：公司对外发布的、以客户业务语言描述的标准化服务产品清单，包含服务内容、标准级别及概要信息。</w:t>
      </w:r>
    </w:p>
    <w:p w14:paraId="63AA3C4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服务级别：针对一项具体服务，公司与客户共同认可的关于服务范围、质量、可用性、性能及响应时间等方面的量化目标与承诺。</w:t>
      </w:r>
    </w:p>
    <w:p w14:paraId="6FDB3514">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服务级别协议：是公司与客户之间就一项或多项服务的具体级别、双方职责、考核指标及违约处理等达成的书面协议。</w:t>
      </w:r>
    </w:p>
    <w:p w14:paraId="05F9907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运营级别协议：公司内部为支持SLA达成而签订的后台支撑协议。</w:t>
      </w:r>
    </w:p>
    <w:p w14:paraId="3DC10468">
      <w:pPr>
        <w:pStyle w:val="28"/>
        <w:bidi w:val="0"/>
        <w:rPr>
          <w:rFonts w:hint="default"/>
          <w:lang w:val="en-US" w:eastAsia="zh-CN"/>
        </w:rPr>
      </w:pPr>
      <w:bookmarkStart w:id="6" w:name="_Toc26337"/>
      <w:r>
        <w:rPr>
          <w:rFonts w:hint="default"/>
          <w:lang w:val="en-US" w:eastAsia="zh-CN"/>
        </w:rPr>
        <w:t>职责分工</w:t>
      </w:r>
      <w:bookmarkEnd w:id="6"/>
    </w:p>
    <w:p w14:paraId="11F67317">
      <w:pPr>
        <w:pStyle w:val="30"/>
        <w:bidi w:val="0"/>
        <w:rPr>
          <w:rFonts w:hint="default"/>
          <w:lang w:val="en-US" w:eastAsia="zh-CN"/>
        </w:rPr>
      </w:pPr>
      <w:bookmarkStart w:id="7" w:name="_Toc12813"/>
      <w:r>
        <w:rPr>
          <w:rFonts w:hint="default"/>
          <w:lang w:val="en-US" w:eastAsia="zh-CN"/>
        </w:rPr>
        <w:t>数智运营部</w:t>
      </w:r>
      <w:bookmarkEnd w:id="7"/>
    </w:p>
    <w:p w14:paraId="7FF79964">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作为本制度的归口管理部门及服务交付主体，负责公司级服务目录的编制与维护。</w:t>
      </w:r>
    </w:p>
    <w:p w14:paraId="150F21EB">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数智运营部经理担任服务级别经理角色，负责：</w:t>
      </w:r>
    </w:p>
    <w:p w14:paraId="2DAE815D">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组织制定和维护有效的服务级别管理流程。</w:t>
      </w:r>
    </w:p>
    <w:p w14:paraId="31C5468A">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监督各项目SLA的执行情况，组织服务绩效监控与数据采集。</w:t>
      </w:r>
    </w:p>
    <w:p w14:paraId="52C61C7E">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定期（如季度/年度）牵头组织召开服务级别评审会议。</w:t>
      </w:r>
    </w:p>
    <w:p w14:paraId="724EDD84">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推动服务改进措施的落实。</w:t>
      </w:r>
    </w:p>
    <w:p w14:paraId="469C9512">
      <w:pPr>
        <w:pStyle w:val="30"/>
        <w:bidi w:val="0"/>
        <w:rPr>
          <w:rFonts w:hint="default"/>
          <w:lang w:val="en-US" w:eastAsia="zh-CN"/>
        </w:rPr>
      </w:pPr>
      <w:bookmarkStart w:id="8" w:name="_Toc3232"/>
      <w:r>
        <w:rPr>
          <w:rFonts w:hint="default"/>
          <w:lang w:val="en-US" w:eastAsia="zh-CN"/>
        </w:rPr>
        <w:t>运维项目经理</w:t>
      </w:r>
      <w:bookmarkEnd w:id="8"/>
    </w:p>
    <w:p w14:paraId="227068CB">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作为客户接口与项目第一责任人，负责：</w:t>
      </w:r>
    </w:p>
    <w:p w14:paraId="5334C0B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与客户进行服务需求沟通、谈判，主导《服务级别协议》的起草、协商与签订。</w:t>
      </w:r>
    </w:p>
    <w:p w14:paraId="5C2DB98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将SLA目标分解为内部运营要求，协调资源确保达成。</w:t>
      </w:r>
    </w:p>
    <w:p w14:paraId="7CB5F9ED">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负责向客户提交定期的服务报告，沟通服务绩效。</w:t>
      </w:r>
    </w:p>
    <w:p w14:paraId="7419539A">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参与服务评审，落实针对具体项目的服务改进措施。</w:t>
      </w:r>
    </w:p>
    <w:p w14:paraId="121EDC01">
      <w:pPr>
        <w:pStyle w:val="30"/>
        <w:bidi w:val="0"/>
        <w:rPr>
          <w:rFonts w:hint="default"/>
          <w:lang w:val="en-US" w:eastAsia="zh-CN"/>
        </w:rPr>
      </w:pPr>
      <w:bookmarkStart w:id="9" w:name="_Toc5013"/>
      <w:r>
        <w:rPr>
          <w:rFonts w:hint="default"/>
          <w:lang w:val="en-US" w:eastAsia="zh-CN"/>
        </w:rPr>
        <w:t>质量管理部</w:t>
      </w:r>
      <w:bookmarkEnd w:id="9"/>
    </w:p>
    <w:p w14:paraId="5122BA6B">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负责对服务级别管理过程的合规性及SLA达成情况进行独立监督与审计。</w:t>
      </w:r>
    </w:p>
    <w:p w14:paraId="05B05661">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参与服务级别评审，从质量体系角度提出改进建议。</w:t>
      </w:r>
    </w:p>
    <w:p w14:paraId="53F5F4DE">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将SLA关键指标纳入公司整体质量目标进行监控。</w:t>
      </w:r>
    </w:p>
    <w:p w14:paraId="7C101F0E">
      <w:pPr>
        <w:pStyle w:val="30"/>
        <w:bidi w:val="0"/>
        <w:rPr>
          <w:rFonts w:hint="default"/>
          <w:lang w:val="en-US" w:eastAsia="zh-CN"/>
        </w:rPr>
      </w:pPr>
      <w:bookmarkStart w:id="10" w:name="_Toc6619"/>
      <w:r>
        <w:rPr>
          <w:rFonts w:hint="default"/>
          <w:lang w:val="en-US" w:eastAsia="zh-CN"/>
        </w:rPr>
        <w:t>研究总院</w:t>
      </w:r>
      <w:bookmarkEnd w:id="10"/>
    </w:p>
    <w:p w14:paraId="7BA3E90A">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为服务级别的技术可行性提供评估与支持。</w:t>
      </w:r>
    </w:p>
    <w:p w14:paraId="21AA35C2">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根据OLA要求，为服务交付提供必要的技术研发、平台支撑与专家资源保障。</w:t>
      </w:r>
    </w:p>
    <w:p w14:paraId="4BFD64D1">
      <w:pPr>
        <w:pStyle w:val="28"/>
        <w:bidi w:val="0"/>
        <w:rPr>
          <w:rFonts w:hint="default"/>
          <w:lang w:val="en-US" w:eastAsia="zh-CN"/>
        </w:rPr>
      </w:pPr>
      <w:bookmarkStart w:id="11" w:name="_Toc22537"/>
      <w:r>
        <w:rPr>
          <w:rFonts w:hint="default"/>
          <w:lang w:val="en-US" w:eastAsia="zh-CN"/>
        </w:rPr>
        <w:t>管理流程概述</w:t>
      </w:r>
      <w:bookmarkEnd w:id="11"/>
    </w:p>
    <w:p w14:paraId="27B7038E">
      <w:pPr>
        <w:pStyle w:val="30"/>
        <w:bidi w:val="0"/>
        <w:rPr>
          <w:rFonts w:hint="default"/>
          <w:lang w:val="en-US" w:eastAsia="zh-CN"/>
        </w:rPr>
      </w:pPr>
      <w:bookmarkStart w:id="12" w:name="_Toc819"/>
      <w:r>
        <w:rPr>
          <w:rFonts w:hint="default"/>
          <w:lang w:val="en-US" w:eastAsia="zh-CN"/>
        </w:rPr>
        <w:t>流程原则</w:t>
      </w:r>
      <w:bookmarkEnd w:id="12"/>
    </w:p>
    <w:p w14:paraId="69D255CC">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服务级别管理应遵循客户导向、量质并重、权责清晰、持续改进的原则。所有服务均应定义明确的级别，并基于协议进行管理。</w:t>
      </w:r>
    </w:p>
    <w:p w14:paraId="0E17A723">
      <w:pPr>
        <w:pStyle w:val="30"/>
        <w:bidi w:val="0"/>
        <w:rPr>
          <w:rFonts w:hint="default"/>
          <w:lang w:val="en-US" w:eastAsia="zh-CN"/>
        </w:rPr>
      </w:pPr>
      <w:bookmarkStart w:id="13" w:name="_Toc1669"/>
      <w:r>
        <w:rPr>
          <w:rFonts w:hint="default"/>
          <w:lang w:val="en-US" w:eastAsia="zh-CN"/>
        </w:rPr>
        <w:t>流程输入与输出</w:t>
      </w:r>
      <w:bookmarkEnd w:id="13"/>
    </w:p>
    <w:p w14:paraId="5386DB1A">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输入：客户业务需求、新服务项目立项信息、服务变更请求、公司服务战略与资源能力评估。</w:t>
      </w:r>
    </w:p>
    <w:p w14:paraId="555E1F4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输出：服务目录、服务级别协议、运营级别协议、服务绩效报告、服务级别评审记录与改进计划。</w:t>
      </w:r>
    </w:p>
    <w:p w14:paraId="0846AFB2">
      <w:pPr>
        <w:pStyle w:val="28"/>
        <w:bidi w:val="0"/>
        <w:rPr>
          <w:rFonts w:hint="default"/>
          <w:lang w:val="en-US" w:eastAsia="zh-CN"/>
        </w:rPr>
      </w:pPr>
      <w:bookmarkStart w:id="14" w:name="_Toc3146"/>
      <w:r>
        <w:rPr>
          <w:rFonts w:hint="default"/>
          <w:lang w:val="en-US" w:eastAsia="zh-CN"/>
        </w:rPr>
        <w:t>活动说明</w:t>
      </w:r>
      <w:bookmarkEnd w:id="14"/>
    </w:p>
    <w:p w14:paraId="7FC75AD7">
      <w:pPr>
        <w:pStyle w:val="30"/>
        <w:bidi w:val="0"/>
        <w:rPr>
          <w:rFonts w:hint="default"/>
          <w:lang w:val="en-US" w:eastAsia="zh-CN"/>
        </w:rPr>
      </w:pPr>
      <w:bookmarkStart w:id="15" w:name="_Toc12605"/>
      <w:r>
        <w:rPr>
          <w:rFonts w:hint="default"/>
          <w:lang w:val="en-US" w:eastAsia="zh-CN"/>
        </w:rPr>
        <w:t>识别与确认客户需求</w:t>
      </w:r>
      <w:bookmarkEnd w:id="15"/>
    </w:p>
    <w:p w14:paraId="17B2B7D7">
      <w:pPr>
        <w:pStyle w:val="29"/>
        <w:bidi w:val="0"/>
        <w:rPr>
          <w:rFonts w:hint="default"/>
          <w:lang w:val="en-US" w:eastAsia="zh-CN"/>
        </w:rPr>
      </w:pPr>
      <w:r>
        <w:rPr>
          <w:rFonts w:hint="default"/>
          <w:lang w:val="en-US" w:eastAsia="zh-CN"/>
        </w:rPr>
        <w:t>运维项目经理通过会议、访谈、问卷等方式，主动收集并分析客户的业务目标、运维需求、期望及约束条件。</w:t>
      </w:r>
    </w:p>
    <w:p w14:paraId="1E587D5D">
      <w:pPr>
        <w:pStyle w:val="29"/>
        <w:bidi w:val="0"/>
        <w:rPr>
          <w:rFonts w:hint="default"/>
          <w:lang w:val="en-US" w:eastAsia="zh-CN"/>
        </w:rPr>
      </w:pPr>
      <w:r>
        <w:rPr>
          <w:rFonts w:hint="default"/>
          <w:lang w:val="en-US" w:eastAsia="zh-CN"/>
        </w:rPr>
        <w:t>形成《客户服务需求说明书》或会议纪要，作为定义服务级别的基础。</w:t>
      </w:r>
    </w:p>
    <w:p w14:paraId="09F9C18C">
      <w:pPr>
        <w:pStyle w:val="30"/>
        <w:bidi w:val="0"/>
        <w:rPr>
          <w:rFonts w:hint="default"/>
          <w:lang w:val="en-US" w:eastAsia="zh-CN"/>
        </w:rPr>
      </w:pPr>
      <w:bookmarkStart w:id="16" w:name="_Toc12115"/>
      <w:r>
        <w:rPr>
          <w:rFonts w:hint="default"/>
          <w:lang w:val="en-US" w:eastAsia="zh-CN"/>
        </w:rPr>
        <w:t>定义与协商服务级别</w:t>
      </w:r>
      <w:bookmarkEnd w:id="16"/>
    </w:p>
    <w:p w14:paraId="6D71EDA8">
      <w:pPr>
        <w:pStyle w:val="29"/>
        <w:bidi w:val="0"/>
        <w:rPr>
          <w:rFonts w:hint="default"/>
          <w:lang w:val="en-US" w:eastAsia="zh-CN"/>
        </w:rPr>
      </w:pPr>
      <w:r>
        <w:rPr>
          <w:rFonts w:hint="default"/>
          <w:lang w:val="en-US" w:eastAsia="zh-CN"/>
        </w:rPr>
        <w:t>运维项目经理根据客户需求，结合公司服务目录、资源能力及成本模型，起草《服务级别协议》草案。</w:t>
      </w:r>
    </w:p>
    <w:p w14:paraId="65DAA2CC">
      <w:pPr>
        <w:pStyle w:val="29"/>
        <w:bidi w:val="0"/>
        <w:rPr>
          <w:rFonts w:hint="default"/>
          <w:lang w:val="en-US" w:eastAsia="zh-CN"/>
        </w:rPr>
      </w:pPr>
      <w:r>
        <w:rPr>
          <w:rFonts w:hint="default"/>
          <w:lang w:val="en-US" w:eastAsia="zh-CN"/>
        </w:rPr>
        <w:t>草案应至少包含：服务概述、范围、服务时间、双方职责、关键考核指标（KPI，如可用性、故障响应与解决时间、服务请求满足率等）、报告机制、费用及回顾周期。</w:t>
      </w:r>
    </w:p>
    <w:p w14:paraId="7DC30450">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与客户进行多轮沟通协商，确保目标可达、权责对等、双方认可。</w:t>
      </w:r>
    </w:p>
    <w:p w14:paraId="581CEC79">
      <w:pPr>
        <w:pStyle w:val="30"/>
        <w:bidi w:val="0"/>
        <w:rPr>
          <w:rFonts w:hint="default"/>
          <w:lang w:val="en-US" w:eastAsia="zh-CN"/>
        </w:rPr>
      </w:pPr>
      <w:bookmarkStart w:id="17" w:name="_Toc32562"/>
      <w:r>
        <w:rPr>
          <w:rFonts w:hint="default"/>
          <w:lang w:val="en-US" w:eastAsia="zh-CN"/>
        </w:rPr>
        <w:t>签订服务级别协议（SLA）</w:t>
      </w:r>
      <w:bookmarkEnd w:id="17"/>
    </w:p>
    <w:p w14:paraId="4C5D7E4F">
      <w:pPr>
        <w:pStyle w:val="29"/>
        <w:bidi w:val="0"/>
        <w:rPr>
          <w:rFonts w:hint="default"/>
          <w:lang w:val="en-US" w:eastAsia="zh-CN"/>
        </w:rPr>
      </w:pPr>
      <w:r>
        <w:rPr>
          <w:rFonts w:hint="default"/>
          <w:lang w:val="en-US" w:eastAsia="zh-CN"/>
        </w:rPr>
        <w:t>经协商一致的SLA文本，按公司合同审批流程报批。</w:t>
      </w:r>
    </w:p>
    <w:p w14:paraId="74037F10">
      <w:pPr>
        <w:pStyle w:val="29"/>
        <w:bidi w:val="0"/>
        <w:rPr>
          <w:rFonts w:hint="default"/>
          <w:lang w:val="en-US" w:eastAsia="zh-CN"/>
        </w:rPr>
      </w:pPr>
      <w:r>
        <w:rPr>
          <w:rFonts w:hint="default"/>
          <w:lang w:val="en-US" w:eastAsia="zh-CN"/>
        </w:rPr>
        <w:t>由法定授权代表与客户正式签署生效。</w:t>
      </w:r>
    </w:p>
    <w:p w14:paraId="2A361A4E">
      <w:pPr>
        <w:pStyle w:val="29"/>
        <w:bidi w:val="0"/>
        <w:rPr>
          <w:rFonts w:hint="default"/>
          <w:lang w:val="en-US" w:eastAsia="zh-CN"/>
        </w:rPr>
      </w:pPr>
      <w:r>
        <w:rPr>
          <w:rFonts w:hint="default"/>
          <w:lang w:val="en-US" w:eastAsia="zh-CN"/>
        </w:rPr>
        <w:t>签署后的SLA应分发至所有相关执行与监督部门（数智运营部、质量管理部等）。</w:t>
      </w:r>
    </w:p>
    <w:p w14:paraId="248EE7F6">
      <w:pPr>
        <w:pStyle w:val="30"/>
        <w:bidi w:val="0"/>
        <w:rPr>
          <w:rFonts w:hint="default"/>
          <w:lang w:val="en-US" w:eastAsia="zh-CN"/>
        </w:rPr>
      </w:pPr>
      <w:bookmarkStart w:id="18" w:name="_Toc15968"/>
      <w:r>
        <w:rPr>
          <w:rFonts w:hint="default"/>
          <w:lang w:val="en-US" w:eastAsia="zh-CN"/>
        </w:rPr>
        <w:t>SLA的实施、监控与报告</w:t>
      </w:r>
      <w:bookmarkEnd w:id="18"/>
    </w:p>
    <w:p w14:paraId="104BB56C">
      <w:pPr>
        <w:pStyle w:val="29"/>
        <w:bidi w:val="0"/>
        <w:rPr>
          <w:rFonts w:hint="default"/>
          <w:lang w:val="en-US" w:eastAsia="zh-CN"/>
        </w:rPr>
      </w:pPr>
      <w:r>
        <w:rPr>
          <w:rFonts w:hint="default"/>
          <w:lang w:val="en-US" w:eastAsia="zh-CN"/>
        </w:rPr>
        <w:t>数智运营部负责根据SLA建立监控机制，利用运维管理平台等工具，对协议中定义的KPI进行持续数据采集与测量。</w:t>
      </w:r>
    </w:p>
    <w:p w14:paraId="28C405B9">
      <w:pPr>
        <w:pStyle w:val="29"/>
        <w:bidi w:val="0"/>
        <w:rPr>
          <w:rFonts w:hint="default"/>
          <w:lang w:val="en-US" w:eastAsia="zh-CN"/>
        </w:rPr>
      </w:pPr>
      <w:r>
        <w:rPr>
          <w:rFonts w:hint="default"/>
          <w:lang w:val="en-US" w:eastAsia="zh-CN"/>
        </w:rPr>
        <w:t>运维项目经理负责编制并按时向客户提交《服务报告》，客观展示周期内服务目标的达成情况、重大事件回顾、工作量统计及改进计划。</w:t>
      </w:r>
    </w:p>
    <w:p w14:paraId="38E01B78">
      <w:pPr>
        <w:pStyle w:val="29"/>
        <w:bidi w:val="0"/>
        <w:rPr>
          <w:rFonts w:hint="default"/>
          <w:lang w:val="en-US" w:eastAsia="zh-CN"/>
        </w:rPr>
      </w:pPr>
      <w:r>
        <w:rPr>
          <w:rFonts w:hint="default"/>
          <w:lang w:val="en-US" w:eastAsia="zh-CN"/>
        </w:rPr>
        <w:t>质量管理部对监控数据的真实性和过程合规性进行抽检。</w:t>
      </w:r>
    </w:p>
    <w:p w14:paraId="646B20B0">
      <w:pPr>
        <w:pStyle w:val="30"/>
        <w:bidi w:val="0"/>
        <w:rPr>
          <w:rFonts w:hint="default"/>
          <w:lang w:val="en-US" w:eastAsia="zh-CN"/>
        </w:rPr>
      </w:pPr>
      <w:bookmarkStart w:id="19" w:name="_Toc3300"/>
      <w:r>
        <w:rPr>
          <w:rFonts w:hint="default"/>
          <w:lang w:val="en-US" w:eastAsia="zh-CN"/>
        </w:rPr>
        <w:t>服务级别的定期评审与改进</w:t>
      </w:r>
      <w:bookmarkEnd w:id="19"/>
    </w:p>
    <w:p w14:paraId="3D5BACD2">
      <w:pPr>
        <w:pStyle w:val="29"/>
        <w:bidi w:val="0"/>
        <w:rPr>
          <w:rFonts w:hint="default"/>
          <w:lang w:val="en-US" w:eastAsia="zh-CN"/>
        </w:rPr>
      </w:pPr>
      <w:r>
        <w:rPr>
          <w:rFonts w:hint="default"/>
          <w:lang w:val="en-US" w:eastAsia="zh-CN"/>
        </w:rPr>
        <w:t>服务级别经理应至少每季度组织一次内部SLA执行情况</w:t>
      </w:r>
      <w:r>
        <w:rPr>
          <w:rFonts w:hint="eastAsia"/>
          <w:lang w:val="en-US" w:eastAsia="zh-CN"/>
        </w:rPr>
        <w:t>总结</w:t>
      </w:r>
      <w:r>
        <w:rPr>
          <w:rFonts w:hint="default"/>
          <w:lang w:val="en-US" w:eastAsia="zh-CN"/>
        </w:rPr>
        <w:t>，每</w:t>
      </w:r>
      <w:r>
        <w:rPr>
          <w:rFonts w:hint="eastAsia"/>
          <w:lang w:val="en-US" w:eastAsia="zh-CN"/>
        </w:rPr>
        <w:t>年进行一次服务级别达成率评审</w:t>
      </w:r>
      <w:r>
        <w:rPr>
          <w:rFonts w:hint="default"/>
          <w:lang w:val="en-US" w:eastAsia="zh-CN"/>
        </w:rPr>
        <w:t>。</w:t>
      </w:r>
    </w:p>
    <w:p w14:paraId="5501BE57">
      <w:pPr>
        <w:pStyle w:val="29"/>
        <w:bidi w:val="0"/>
        <w:rPr>
          <w:rFonts w:hint="default"/>
          <w:lang w:val="en-US" w:eastAsia="zh-CN"/>
        </w:rPr>
      </w:pPr>
      <w:r>
        <w:rPr>
          <w:rFonts w:hint="default"/>
          <w:lang w:val="en-US" w:eastAsia="zh-CN"/>
        </w:rPr>
        <w:t>会议依据服务报告和数据，评估SLA履行情况，分析未达标项的根本原因。</w:t>
      </w:r>
    </w:p>
    <w:p w14:paraId="204AE9D6">
      <w:pPr>
        <w:pStyle w:val="29"/>
        <w:bidi w:val="0"/>
        <w:rPr>
          <w:rFonts w:hint="default"/>
          <w:lang w:val="en-US" w:eastAsia="zh-CN"/>
        </w:rPr>
      </w:pPr>
      <w:r>
        <w:rPr>
          <w:rFonts w:hint="default"/>
          <w:lang w:val="en-US" w:eastAsia="zh-CN"/>
        </w:rPr>
        <w:t>会议输出《服务级别评审记录》，明确服务改进措施、责任人和完成时限，并经客户确认。</w:t>
      </w:r>
    </w:p>
    <w:p w14:paraId="7C3B7A2B">
      <w:pPr>
        <w:pStyle w:val="29"/>
        <w:bidi w:val="0"/>
        <w:rPr>
          <w:rFonts w:hint="default"/>
          <w:lang w:val="en-US" w:eastAsia="zh-CN"/>
        </w:rPr>
      </w:pPr>
      <w:r>
        <w:rPr>
          <w:rFonts w:hint="default"/>
          <w:lang w:val="en-US" w:eastAsia="zh-CN"/>
        </w:rPr>
        <w:t>对于需要调整SLA内容的，启动变更管理流程。</w:t>
      </w:r>
    </w:p>
    <w:p w14:paraId="6918FC19">
      <w:pPr>
        <w:pStyle w:val="28"/>
        <w:bidi w:val="0"/>
        <w:rPr>
          <w:rFonts w:hint="default"/>
          <w:lang w:val="en-US" w:eastAsia="zh-CN"/>
        </w:rPr>
      </w:pPr>
      <w:bookmarkStart w:id="20" w:name="_Toc29662"/>
      <w:r>
        <w:rPr>
          <w:rFonts w:hint="default"/>
          <w:lang w:val="en-US" w:eastAsia="zh-CN"/>
        </w:rPr>
        <w:t>关键成功因素与风险控制</w:t>
      </w:r>
      <w:bookmarkEnd w:id="20"/>
    </w:p>
    <w:p w14:paraId="2E82B72C">
      <w:pPr>
        <w:pStyle w:val="30"/>
        <w:bidi w:val="0"/>
        <w:rPr>
          <w:rFonts w:hint="default"/>
          <w:lang w:val="en-US" w:eastAsia="zh-CN"/>
        </w:rPr>
      </w:pPr>
      <w:bookmarkStart w:id="21" w:name="_Toc9037"/>
      <w:r>
        <w:rPr>
          <w:rFonts w:hint="default"/>
          <w:lang w:val="en-US" w:eastAsia="zh-CN"/>
        </w:rPr>
        <w:t>关键成功因素</w:t>
      </w:r>
      <w:bookmarkEnd w:id="21"/>
    </w:p>
    <w:p w14:paraId="6102CBE2">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管理层的支持与承诺。</w:t>
      </w:r>
    </w:p>
    <w:p w14:paraId="7E4FFED7">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建立清晰、可量化、业务相关的服务目标。</w:t>
      </w:r>
    </w:p>
    <w:p w14:paraId="0D20709E">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明确的内部职责划分与有效的跨部门（如数智运营部与研究总院）协作机制。</w:t>
      </w:r>
    </w:p>
    <w:p w14:paraId="4805D1C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持续、透明的客户沟通与关系管理。</w:t>
      </w:r>
    </w:p>
    <w:p w14:paraId="4438CE27">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可靠的服务监控与报告工具。</w:t>
      </w:r>
    </w:p>
    <w:p w14:paraId="2F430DB6">
      <w:pPr>
        <w:pStyle w:val="30"/>
        <w:bidi w:val="0"/>
        <w:rPr>
          <w:rFonts w:hint="default"/>
          <w:lang w:val="en-US" w:eastAsia="zh-CN"/>
        </w:rPr>
      </w:pPr>
      <w:bookmarkStart w:id="22" w:name="_Toc5144"/>
      <w:r>
        <w:rPr>
          <w:rFonts w:hint="default"/>
          <w:lang w:val="en-US" w:eastAsia="zh-CN"/>
        </w:rPr>
        <w:t>可能存在的风险</w:t>
      </w:r>
      <w:bookmarkEnd w:id="22"/>
    </w:p>
    <w:p w14:paraId="5F5DFA4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客户需求识别不准确，导致SLA偏离业务实际。</w:t>
      </w:r>
    </w:p>
    <w:p w14:paraId="32E7158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承诺的服务目标超出公司实际技术或资源能力。</w:t>
      </w:r>
    </w:p>
    <w:p w14:paraId="7D1A9A6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内部支撑协议缺失或无效，导致SLA无法落地。</w:t>
      </w:r>
    </w:p>
    <w:p w14:paraId="6A1B89E2">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SLA签订后缺乏有效的监控与主动沟通，问题累积。</w:t>
      </w:r>
    </w:p>
    <w:p w14:paraId="51DA493E">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未建立与SLA联动的持续改进机制。</w:t>
      </w:r>
    </w:p>
    <w:p w14:paraId="0D5CF017">
      <w:pPr>
        <w:pStyle w:val="28"/>
        <w:bidi w:val="0"/>
        <w:rPr>
          <w:rFonts w:hint="default"/>
          <w:lang w:val="en-US" w:eastAsia="zh-CN"/>
        </w:rPr>
      </w:pPr>
      <w:bookmarkStart w:id="23" w:name="_Toc32737"/>
      <w:r>
        <w:rPr>
          <w:rFonts w:hint="default"/>
          <w:lang w:val="en-US" w:eastAsia="zh-CN"/>
        </w:rPr>
        <w:t>与其他流程的接口关系</w:t>
      </w:r>
      <w:bookmarkEnd w:id="23"/>
    </w:p>
    <w:p w14:paraId="25A014E0">
      <w:pPr>
        <w:pStyle w:val="30"/>
        <w:bidi w:val="0"/>
        <w:rPr>
          <w:rFonts w:hint="default"/>
          <w:lang w:val="en-US" w:eastAsia="zh-CN"/>
        </w:rPr>
      </w:pPr>
      <w:bookmarkStart w:id="24" w:name="_Toc4030"/>
      <w:r>
        <w:rPr>
          <w:rFonts w:hint="default"/>
          <w:lang w:val="en-US" w:eastAsia="zh-CN"/>
        </w:rPr>
        <w:t>与事件管理、问题管理流程</w:t>
      </w:r>
      <w:bookmarkEnd w:id="24"/>
    </w:p>
    <w:p w14:paraId="25E2D61B">
      <w:pPr>
        <w:pStyle w:val="29"/>
        <w:bidi w:val="0"/>
        <w:rPr>
          <w:rFonts w:hint="default"/>
          <w:lang w:val="en-US" w:eastAsia="zh-CN"/>
        </w:rPr>
      </w:pPr>
      <w:r>
        <w:rPr>
          <w:rFonts w:hint="default"/>
          <w:lang w:val="en-US" w:eastAsia="zh-CN"/>
        </w:rPr>
        <w:t>事件管理：事件的分级、响应与解决时限必须遵循SLA中的约定。服务台是监控SLA时限的关键节点。</w:t>
      </w:r>
    </w:p>
    <w:p w14:paraId="70A8ADB4">
      <w:pPr>
        <w:pStyle w:val="29"/>
        <w:bidi w:val="0"/>
        <w:rPr>
          <w:rFonts w:hint="default"/>
          <w:lang w:val="en-US" w:eastAsia="zh-CN"/>
        </w:rPr>
      </w:pPr>
      <w:r>
        <w:rPr>
          <w:rFonts w:hint="default"/>
          <w:lang w:val="en-US" w:eastAsia="zh-CN"/>
        </w:rPr>
        <w:t>问题管理：通过根因分析预防SLA中重复性事件的再次发生，是达成高可用性等目标的核心保障。</w:t>
      </w:r>
    </w:p>
    <w:p w14:paraId="5C5D100B">
      <w:pPr>
        <w:pStyle w:val="30"/>
        <w:bidi w:val="0"/>
        <w:rPr>
          <w:rFonts w:hint="default"/>
          <w:lang w:val="en-US" w:eastAsia="zh-CN"/>
        </w:rPr>
      </w:pPr>
      <w:bookmarkStart w:id="25" w:name="_Toc32107"/>
      <w:r>
        <w:rPr>
          <w:rFonts w:hint="default"/>
          <w:lang w:val="en-US" w:eastAsia="zh-CN"/>
        </w:rPr>
        <w:t>与变更管理、发布管理流程</w:t>
      </w:r>
      <w:bookmarkEnd w:id="25"/>
    </w:p>
    <w:p w14:paraId="1D8C2C7C">
      <w:pPr>
        <w:pStyle w:val="29"/>
        <w:bidi w:val="0"/>
        <w:rPr>
          <w:rFonts w:hint="default"/>
          <w:lang w:val="en-US" w:eastAsia="zh-CN"/>
        </w:rPr>
      </w:pPr>
      <w:r>
        <w:rPr>
          <w:rFonts w:hint="default"/>
          <w:lang w:val="en-US" w:eastAsia="zh-CN"/>
        </w:rPr>
        <w:t>任何可能影响SLA达成的变更（如系统升级、架构调整）必须通过变更管理流程进行评估与审批。</w:t>
      </w:r>
    </w:p>
    <w:p w14:paraId="73B269A1">
      <w:pPr>
        <w:pStyle w:val="29"/>
        <w:bidi w:val="0"/>
        <w:rPr>
          <w:rFonts w:hint="default"/>
          <w:lang w:val="en-US" w:eastAsia="zh-CN"/>
        </w:rPr>
      </w:pPr>
      <w:r>
        <w:rPr>
          <w:rFonts w:hint="default"/>
          <w:lang w:val="en-US" w:eastAsia="zh-CN"/>
        </w:rPr>
        <w:t>发布管理确保上线内容稳定，是维持服务级别的关键控制点。</w:t>
      </w:r>
    </w:p>
    <w:p w14:paraId="73321139">
      <w:pPr>
        <w:pStyle w:val="30"/>
        <w:bidi w:val="0"/>
        <w:rPr>
          <w:rFonts w:hint="default"/>
          <w:lang w:val="en-US" w:eastAsia="zh-CN"/>
        </w:rPr>
      </w:pPr>
      <w:bookmarkStart w:id="26" w:name="_Toc22471"/>
      <w:r>
        <w:rPr>
          <w:rFonts w:hint="default"/>
          <w:lang w:val="en-US" w:eastAsia="zh-CN"/>
        </w:rPr>
        <w:t>与服务报告、知识管理流程</w:t>
      </w:r>
      <w:bookmarkEnd w:id="26"/>
    </w:p>
    <w:p w14:paraId="6996BFF1">
      <w:pPr>
        <w:pStyle w:val="29"/>
        <w:bidi w:val="0"/>
        <w:rPr>
          <w:rFonts w:hint="default"/>
          <w:lang w:val="en-US" w:eastAsia="zh-CN"/>
        </w:rPr>
      </w:pPr>
      <w:r>
        <w:rPr>
          <w:rFonts w:hint="default"/>
          <w:lang w:val="en-US" w:eastAsia="zh-CN"/>
        </w:rPr>
        <w:t>服务报告是SLA监控结果的正式输出，用于评审与沟通。</w:t>
      </w:r>
    </w:p>
    <w:p w14:paraId="3DF6F4DC">
      <w:pPr>
        <w:pStyle w:val="29"/>
        <w:bidi w:val="0"/>
        <w:rPr>
          <w:rFonts w:hint="default"/>
          <w:lang w:val="en-US" w:eastAsia="zh-CN"/>
        </w:rPr>
      </w:pPr>
      <w:r>
        <w:rPr>
          <w:rFonts w:hint="default"/>
          <w:lang w:val="en-US" w:eastAsia="zh-CN"/>
        </w:rPr>
        <w:t>知识管理：将SLA评审中的改进措施和典型问题解决方案沉淀为知识，用于提升未来服务交付质量。</w:t>
      </w:r>
    </w:p>
    <w:p w14:paraId="23DA9F5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11520"/>
      <w:r>
        <w:rPr>
          <w:rFonts w:hint="eastAsia"/>
          <w:lang w:val="en-US" w:eastAsia="zh-CN"/>
        </w:rPr>
        <w:t>考核指标</w:t>
      </w:r>
      <w:bookmarkEnd w:id="27"/>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27"/>
        <w:gridCol w:w="1092"/>
        <w:gridCol w:w="3300"/>
        <w:gridCol w:w="1056"/>
      </w:tblGrid>
      <w:tr w14:paraId="43D29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BE7D6FE">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09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49D567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330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02337FBE">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105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2269854">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2D5BC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9C7810">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SLA达成率</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830B0">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≥9</w:t>
            </w:r>
            <w:r>
              <w:rPr>
                <w:rFonts w:hint="eastAsia" w:ascii="宋体" w:hAnsi="宋体" w:cs="宋体"/>
                <w:i w:val="0"/>
                <w:iCs w:val="0"/>
                <w:snapToGrid w:val="0"/>
                <w:color w:val="000000"/>
                <w:kern w:val="0"/>
                <w:sz w:val="21"/>
                <w:szCs w:val="21"/>
                <w:u w:val="none"/>
                <w:lang w:val="en-US" w:eastAsia="zh-CN"/>
              </w:rPr>
              <w:t>0</w:t>
            </w:r>
            <w:r>
              <w:rPr>
                <w:rFonts w:hint="eastAsia" w:ascii="宋体" w:hAnsi="宋体" w:eastAsia="宋体" w:cs="宋体"/>
                <w:i w:val="0"/>
                <w:iCs w:val="0"/>
                <w:snapToGrid w:val="0"/>
                <w:color w:val="000000"/>
                <w:kern w:val="0"/>
                <w:sz w:val="21"/>
                <w:szCs w:val="21"/>
                <w:u w:val="none"/>
                <w:lang w:val="en-US" w:eastAsia="zh-CN"/>
              </w:rPr>
              <w:t>%</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92217">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达到服务级别要求的事件数/应达到服务级别要求的事件总数*100%</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8CD8CE">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季度</w:t>
            </w:r>
          </w:p>
        </w:tc>
      </w:tr>
    </w:tbl>
    <w:p w14:paraId="47FC7282">
      <w:pPr>
        <w:pStyle w:val="28"/>
        <w:bidi w:val="0"/>
        <w:rPr>
          <w:rFonts w:hint="default"/>
          <w:lang w:val="en-US" w:eastAsia="zh-CN"/>
        </w:rPr>
      </w:pPr>
      <w:bookmarkStart w:id="28" w:name="_Toc21787"/>
      <w:r>
        <w:rPr>
          <w:rFonts w:hint="default"/>
          <w:lang w:val="en-US" w:eastAsia="zh-CN"/>
        </w:rPr>
        <w:t>附则</w:t>
      </w:r>
      <w:bookmarkEnd w:id="28"/>
    </w:p>
    <w:p w14:paraId="5E414A6E">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本制度由数智运营部负责解释与修订。</w:t>
      </w:r>
    </w:p>
    <w:p w14:paraId="2E054145">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本制度自发布之日起生效，公司所有相关服务活动须遵照执行。</w:t>
      </w:r>
    </w:p>
    <w:p w14:paraId="2072059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本制度涉及的《服务级别协议》、《服务级别评审记录》等模板，由数智运营部会同人力部、质量管理部共同制定与维护。</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96CA7">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3A7AC7B"/>
    <w:multiLevelType w:val="singleLevel"/>
    <w:tmpl w:val="C3A7AC7B"/>
    <w:lvl w:ilvl="0" w:tentative="0">
      <w:start w:val="1"/>
      <w:numFmt w:val="decimal"/>
      <w:lvlText w:val="%1."/>
      <w:lvlJc w:val="left"/>
      <w:pPr>
        <w:ind w:left="425" w:hanging="425"/>
      </w:pPr>
      <w:rPr>
        <w:rFonts w:hint="default"/>
      </w:rPr>
    </w:lvl>
  </w:abstractNum>
  <w:abstractNum w:abstractNumId="2">
    <w:nsid w:val="00B6B9A6"/>
    <w:multiLevelType w:val="singleLevel"/>
    <w:tmpl w:val="00B6B9A6"/>
    <w:lvl w:ilvl="0" w:tentative="0">
      <w:start w:val="1"/>
      <w:numFmt w:val="decimal"/>
      <w:lvlText w:val="%1."/>
      <w:lvlJc w:val="left"/>
      <w:pPr>
        <w:ind w:left="425" w:hanging="425"/>
      </w:pPr>
      <w:rPr>
        <w:rFonts w:hint="default"/>
      </w:rPr>
    </w:lvl>
  </w:abstractNum>
  <w:abstractNum w:abstractNumId="3">
    <w:nsid w:val="4DD0EFF0"/>
    <w:multiLevelType w:val="singleLevel"/>
    <w:tmpl w:val="4DD0EFF0"/>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B7C4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2541</Words>
  <Characters>2728</Characters>
  <Lines>0</Lines>
  <Paragraphs>0</Paragraphs>
  <TotalTime>0</TotalTime>
  <ScaleCrop>false</ScaleCrop>
  <LinksUpToDate>false</LinksUpToDate>
  <CharactersWithSpaces>2842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2026-02-04T16:11:23Z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