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667A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47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5AAC543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0952"/>
      <w:r>
        <w:rPr>
          <w:rFonts w:hint="eastAsia"/>
          <w:lang w:val="en-US" w:eastAsia="zh-CN"/>
        </w:rPr>
        <w:t>服务报告管理制度</w:t>
      </w:r>
      <w:bookmarkEnd w:id="1"/>
    </w:p>
    <w:p w14:paraId="0753EDC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3</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B5E8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2FD4B1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067B8F4D">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C3F1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1284199">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6E3F9B2">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575C1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4CD366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2E4476D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EAF7C5B">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743BBEC">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1FA46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42A64FDC">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70071778">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5BCC8F7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C860542">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6B15E97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370324E">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170EA3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14E81B85">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72" w:type="dxa"/>
          </w:tcPr>
          <w:p w14:paraId="38C58BC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5237241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5D7796EA">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48DC184A">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4D8899E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138B97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042F8E7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4C2C6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66BA0E3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F127A0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350FA65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A94463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F01E7E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F90AE9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7CC4A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AE2C44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5E5099B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07D9940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665668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F6D1E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822A87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F2BC9C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334BB2F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2D9DE0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B68CA7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61508B4C">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34F9B95F">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ABDC15A">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639E4BE">
          <w:pPr>
            <w:pStyle w:val="16"/>
            <w:tabs>
              <w:tab w:val="right" w:leader="dot" w:pos="8306"/>
            </w:tabs>
          </w:pPr>
          <w:bookmarkStart w:id="17" w:name="_GoBack"/>
          <w:bookmarkEnd w:id="17"/>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_Toc12470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_Toc12470 \h </w:instrText>
          </w:r>
          <w:r>
            <w:fldChar w:fldCharType="separate"/>
          </w:r>
          <w:r>
            <w:t>1</w:t>
          </w:r>
          <w:r>
            <w:fldChar w:fldCharType="end"/>
          </w:r>
          <w:r>
            <w:rPr>
              <w:rFonts w:hint="eastAsia" w:ascii="宋体" w:hAnsi="宋体" w:eastAsia="宋体" w:cs="宋体"/>
              <w:szCs w:val="24"/>
            </w:rPr>
            <w:fldChar w:fldCharType="end"/>
          </w:r>
        </w:p>
        <w:p w14:paraId="28F61B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_Toc20952 </w:instrText>
          </w:r>
          <w:r>
            <w:rPr>
              <w:rFonts w:hint="eastAsia" w:ascii="宋体" w:hAnsi="宋体" w:eastAsia="宋体" w:cs="宋体"/>
              <w:szCs w:val="24"/>
            </w:rPr>
            <w:fldChar w:fldCharType="separate"/>
          </w:r>
          <w:r>
            <w:rPr>
              <w:rFonts w:hint="eastAsia"/>
              <w:lang w:val="en-US" w:eastAsia="zh-CN"/>
            </w:rPr>
            <w:t>服务报告管理制度</w:t>
          </w:r>
          <w:r>
            <w:tab/>
          </w:r>
          <w:r>
            <w:fldChar w:fldCharType="begin"/>
          </w:r>
          <w:r>
            <w:instrText xml:space="preserve"> PAGEREF _Toc20952 \h </w:instrText>
          </w:r>
          <w:r>
            <w:fldChar w:fldCharType="separate"/>
          </w:r>
          <w:r>
            <w:t>1</w:t>
          </w:r>
          <w:r>
            <w:fldChar w:fldCharType="end"/>
          </w:r>
          <w:r>
            <w:rPr>
              <w:rFonts w:hint="eastAsia" w:ascii="宋体" w:hAnsi="宋体" w:eastAsia="宋体" w:cs="宋体"/>
              <w:szCs w:val="24"/>
            </w:rPr>
            <w:fldChar w:fldCharType="end"/>
          </w:r>
        </w:p>
        <w:p w14:paraId="32F917C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_Toc17874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_Toc17874 \h </w:instrText>
          </w:r>
          <w:r>
            <w:fldChar w:fldCharType="separate"/>
          </w:r>
          <w:r>
            <w:t>4</w:t>
          </w:r>
          <w:r>
            <w:fldChar w:fldCharType="end"/>
          </w:r>
          <w:r>
            <w:rPr>
              <w:rFonts w:hint="eastAsia" w:ascii="宋体" w:hAnsi="宋体" w:eastAsia="宋体" w:cs="宋体"/>
              <w:szCs w:val="24"/>
            </w:rPr>
            <w:fldChar w:fldCharType="end"/>
          </w:r>
        </w:p>
        <w:p w14:paraId="6BD1FB6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_Toc11508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_Toc11508 \h </w:instrText>
          </w:r>
          <w:r>
            <w:fldChar w:fldCharType="separate"/>
          </w:r>
          <w:r>
            <w:t>4</w:t>
          </w:r>
          <w:r>
            <w:fldChar w:fldCharType="end"/>
          </w:r>
          <w:r>
            <w:rPr>
              <w:rFonts w:hint="eastAsia" w:ascii="宋体" w:hAnsi="宋体" w:eastAsia="宋体" w:cs="宋体"/>
              <w:szCs w:val="24"/>
            </w:rPr>
            <w:fldChar w:fldCharType="end"/>
          </w:r>
        </w:p>
        <w:p w14:paraId="5B4383A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_Toc4818 </w:instrText>
          </w:r>
          <w:r>
            <w:rPr>
              <w:rFonts w:hint="eastAsia" w:ascii="宋体" w:hAnsi="宋体" w:eastAsia="宋体" w:cs="宋体"/>
              <w:szCs w:val="24"/>
            </w:rPr>
            <w:fldChar w:fldCharType="separate"/>
          </w:r>
          <w:r>
            <w:rPr>
              <w:rFonts w:hint="default"/>
              <w:lang w:val="en-US" w:eastAsia="zh-CN"/>
            </w:rPr>
            <w:t>1.2. 适用范围</w:t>
          </w:r>
          <w:r>
            <w:tab/>
          </w:r>
          <w:r>
            <w:fldChar w:fldCharType="begin"/>
          </w:r>
          <w:r>
            <w:instrText xml:space="preserve"> PAGEREF _Toc4818 \h </w:instrText>
          </w:r>
          <w:r>
            <w:fldChar w:fldCharType="separate"/>
          </w:r>
          <w:r>
            <w:t>4</w:t>
          </w:r>
          <w:r>
            <w:fldChar w:fldCharType="end"/>
          </w:r>
          <w:r>
            <w:rPr>
              <w:rFonts w:hint="eastAsia" w:ascii="宋体" w:hAnsi="宋体" w:eastAsia="宋体" w:cs="宋体"/>
              <w:szCs w:val="24"/>
            </w:rPr>
            <w:fldChar w:fldCharType="end"/>
          </w:r>
        </w:p>
        <w:p w14:paraId="3A2DA9B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_Toc8729 </w:instrText>
          </w:r>
          <w:r>
            <w:rPr>
              <w:rFonts w:hint="eastAsia" w:ascii="宋体" w:hAnsi="宋体" w:eastAsia="宋体" w:cs="宋体"/>
              <w:szCs w:val="24"/>
            </w:rPr>
            <w:fldChar w:fldCharType="separate"/>
          </w:r>
          <w:r>
            <w:rPr>
              <w:rFonts w:hint="default"/>
              <w:lang w:val="en-US" w:eastAsia="zh-CN"/>
            </w:rPr>
            <w:t>2. 职责分工</w:t>
          </w:r>
          <w:r>
            <w:tab/>
          </w:r>
          <w:r>
            <w:fldChar w:fldCharType="begin"/>
          </w:r>
          <w:r>
            <w:instrText xml:space="preserve"> PAGEREF _Toc8729 \h </w:instrText>
          </w:r>
          <w:r>
            <w:fldChar w:fldCharType="separate"/>
          </w:r>
          <w:r>
            <w:t>4</w:t>
          </w:r>
          <w:r>
            <w:fldChar w:fldCharType="end"/>
          </w:r>
          <w:r>
            <w:rPr>
              <w:rFonts w:hint="eastAsia" w:ascii="宋体" w:hAnsi="宋体" w:eastAsia="宋体" w:cs="宋体"/>
              <w:szCs w:val="24"/>
            </w:rPr>
            <w:fldChar w:fldCharType="end"/>
          </w:r>
        </w:p>
        <w:p w14:paraId="33F416D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_Toc14735 </w:instrText>
          </w:r>
          <w:r>
            <w:rPr>
              <w:rFonts w:hint="eastAsia" w:ascii="宋体" w:hAnsi="宋体" w:eastAsia="宋体" w:cs="宋体"/>
              <w:szCs w:val="24"/>
            </w:rPr>
            <w:fldChar w:fldCharType="separate"/>
          </w:r>
          <w:r>
            <w:rPr>
              <w:rFonts w:hint="default"/>
              <w:lang w:val="en-US" w:eastAsia="zh-CN"/>
            </w:rPr>
            <w:t>2.1. 报告编制人</w:t>
          </w:r>
          <w:r>
            <w:tab/>
          </w:r>
          <w:r>
            <w:fldChar w:fldCharType="begin"/>
          </w:r>
          <w:r>
            <w:instrText xml:space="preserve"> PAGEREF _Toc14735 \h </w:instrText>
          </w:r>
          <w:r>
            <w:fldChar w:fldCharType="separate"/>
          </w:r>
          <w:r>
            <w:t>4</w:t>
          </w:r>
          <w:r>
            <w:fldChar w:fldCharType="end"/>
          </w:r>
          <w:r>
            <w:rPr>
              <w:rFonts w:hint="eastAsia" w:ascii="宋体" w:hAnsi="宋体" w:eastAsia="宋体" w:cs="宋体"/>
              <w:szCs w:val="24"/>
            </w:rPr>
            <w:fldChar w:fldCharType="end"/>
          </w:r>
        </w:p>
        <w:p w14:paraId="1F00BC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_Toc19320 </w:instrText>
          </w:r>
          <w:r>
            <w:rPr>
              <w:rFonts w:hint="eastAsia" w:ascii="宋体" w:hAnsi="宋体" w:eastAsia="宋体" w:cs="宋体"/>
              <w:szCs w:val="24"/>
            </w:rPr>
            <w:fldChar w:fldCharType="separate"/>
          </w:r>
          <w:r>
            <w:rPr>
              <w:rFonts w:hint="default"/>
              <w:lang w:val="en-US" w:eastAsia="zh-CN"/>
            </w:rPr>
            <w:t>2.2. 报告审核人</w:t>
          </w:r>
          <w:r>
            <w:tab/>
          </w:r>
          <w:r>
            <w:fldChar w:fldCharType="begin"/>
          </w:r>
          <w:r>
            <w:instrText xml:space="preserve"> PAGEREF _Toc19320 \h </w:instrText>
          </w:r>
          <w:r>
            <w:fldChar w:fldCharType="separate"/>
          </w:r>
          <w:r>
            <w:t>4</w:t>
          </w:r>
          <w:r>
            <w:fldChar w:fldCharType="end"/>
          </w:r>
          <w:r>
            <w:rPr>
              <w:rFonts w:hint="eastAsia" w:ascii="宋体" w:hAnsi="宋体" w:eastAsia="宋体" w:cs="宋体"/>
              <w:szCs w:val="24"/>
            </w:rPr>
            <w:fldChar w:fldCharType="end"/>
          </w:r>
        </w:p>
        <w:p w14:paraId="0D4D77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_Toc21580 </w:instrText>
          </w:r>
          <w:r>
            <w:rPr>
              <w:rFonts w:hint="eastAsia" w:ascii="宋体" w:hAnsi="宋体" w:eastAsia="宋体" w:cs="宋体"/>
              <w:szCs w:val="24"/>
            </w:rPr>
            <w:fldChar w:fldCharType="separate"/>
          </w:r>
          <w:r>
            <w:rPr>
              <w:rFonts w:hint="default"/>
              <w:lang w:val="en-US" w:eastAsia="zh-CN"/>
            </w:rPr>
            <w:t>2.3. 报告归档与管理方</w:t>
          </w:r>
          <w:r>
            <w:tab/>
          </w:r>
          <w:r>
            <w:fldChar w:fldCharType="begin"/>
          </w:r>
          <w:r>
            <w:instrText xml:space="preserve"> PAGEREF _Toc21580 \h </w:instrText>
          </w:r>
          <w:r>
            <w:fldChar w:fldCharType="separate"/>
          </w:r>
          <w:r>
            <w:t>4</w:t>
          </w:r>
          <w:r>
            <w:fldChar w:fldCharType="end"/>
          </w:r>
          <w:r>
            <w:rPr>
              <w:rFonts w:hint="eastAsia" w:ascii="宋体" w:hAnsi="宋体" w:eastAsia="宋体" w:cs="宋体"/>
              <w:szCs w:val="24"/>
            </w:rPr>
            <w:fldChar w:fldCharType="end"/>
          </w:r>
        </w:p>
        <w:p w14:paraId="674E032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_Toc26582 </w:instrText>
          </w:r>
          <w:r>
            <w:rPr>
              <w:rFonts w:hint="eastAsia" w:ascii="宋体" w:hAnsi="宋体" w:eastAsia="宋体" w:cs="宋体"/>
              <w:szCs w:val="24"/>
            </w:rPr>
            <w:fldChar w:fldCharType="separate"/>
          </w:r>
          <w:r>
            <w:rPr>
              <w:rFonts w:hint="default"/>
              <w:lang w:val="en-US" w:eastAsia="zh-CN"/>
            </w:rPr>
            <w:t>3. 报告分类与提交计划</w:t>
          </w:r>
          <w:r>
            <w:tab/>
          </w:r>
          <w:r>
            <w:fldChar w:fldCharType="begin"/>
          </w:r>
          <w:r>
            <w:instrText xml:space="preserve"> PAGEREF _Toc26582 \h </w:instrText>
          </w:r>
          <w:r>
            <w:fldChar w:fldCharType="separate"/>
          </w:r>
          <w:r>
            <w:t>5</w:t>
          </w:r>
          <w:r>
            <w:fldChar w:fldCharType="end"/>
          </w:r>
          <w:r>
            <w:rPr>
              <w:rFonts w:hint="eastAsia" w:ascii="宋体" w:hAnsi="宋体" w:eastAsia="宋体" w:cs="宋体"/>
              <w:szCs w:val="24"/>
            </w:rPr>
            <w:fldChar w:fldCharType="end"/>
          </w:r>
        </w:p>
        <w:p w14:paraId="4B60B0E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_Toc9756 </w:instrText>
          </w:r>
          <w:r>
            <w:rPr>
              <w:rFonts w:hint="eastAsia" w:ascii="宋体" w:hAnsi="宋体" w:eastAsia="宋体" w:cs="宋体"/>
              <w:szCs w:val="24"/>
            </w:rPr>
            <w:fldChar w:fldCharType="separate"/>
          </w:r>
          <w:r>
            <w:rPr>
              <w:rFonts w:hint="default"/>
              <w:lang w:val="en-US" w:eastAsia="zh-CN"/>
            </w:rPr>
            <w:t>4. 报告管理策略</w:t>
          </w:r>
          <w:r>
            <w:tab/>
          </w:r>
          <w:r>
            <w:fldChar w:fldCharType="begin"/>
          </w:r>
          <w:r>
            <w:instrText xml:space="preserve"> PAGEREF _Toc9756 \h </w:instrText>
          </w:r>
          <w:r>
            <w:fldChar w:fldCharType="separate"/>
          </w:r>
          <w:r>
            <w:t>5</w:t>
          </w:r>
          <w:r>
            <w:fldChar w:fldCharType="end"/>
          </w:r>
          <w:r>
            <w:rPr>
              <w:rFonts w:hint="eastAsia" w:ascii="宋体" w:hAnsi="宋体" w:eastAsia="宋体" w:cs="宋体"/>
              <w:szCs w:val="24"/>
            </w:rPr>
            <w:fldChar w:fldCharType="end"/>
          </w:r>
        </w:p>
        <w:p w14:paraId="17A4905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_Toc14285 </w:instrText>
          </w:r>
          <w:r>
            <w:rPr>
              <w:rFonts w:hint="eastAsia" w:ascii="宋体" w:hAnsi="宋体" w:eastAsia="宋体" w:cs="宋体"/>
              <w:szCs w:val="24"/>
            </w:rPr>
            <w:fldChar w:fldCharType="separate"/>
          </w:r>
          <w:r>
            <w:rPr>
              <w:rFonts w:hint="default"/>
              <w:lang w:val="en-US" w:eastAsia="zh-CN"/>
            </w:rPr>
            <w:t>5. 报告核心内容要求</w:t>
          </w:r>
          <w:r>
            <w:tab/>
          </w:r>
          <w:r>
            <w:fldChar w:fldCharType="begin"/>
          </w:r>
          <w:r>
            <w:instrText xml:space="preserve"> PAGEREF _Toc14285 \h </w:instrText>
          </w:r>
          <w:r>
            <w:fldChar w:fldCharType="separate"/>
          </w:r>
          <w:r>
            <w:t>5</w:t>
          </w:r>
          <w:r>
            <w:fldChar w:fldCharType="end"/>
          </w:r>
          <w:r>
            <w:rPr>
              <w:rFonts w:hint="eastAsia" w:ascii="宋体" w:hAnsi="宋体" w:eastAsia="宋体" w:cs="宋体"/>
              <w:szCs w:val="24"/>
            </w:rPr>
            <w:fldChar w:fldCharType="end"/>
          </w:r>
        </w:p>
        <w:p w14:paraId="523C183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_Toc14238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外部服务报告</w:t>
          </w:r>
          <w:r>
            <w:tab/>
          </w:r>
          <w:r>
            <w:fldChar w:fldCharType="begin"/>
          </w:r>
          <w:r>
            <w:instrText xml:space="preserve"> PAGEREF _Toc14238 \h </w:instrText>
          </w:r>
          <w:r>
            <w:fldChar w:fldCharType="separate"/>
          </w:r>
          <w:r>
            <w:t>5</w:t>
          </w:r>
          <w:r>
            <w:fldChar w:fldCharType="end"/>
          </w:r>
          <w:r>
            <w:rPr>
              <w:rFonts w:hint="eastAsia" w:ascii="宋体" w:hAnsi="宋体" w:eastAsia="宋体" w:cs="宋体"/>
              <w:szCs w:val="24"/>
            </w:rPr>
            <w:fldChar w:fldCharType="end"/>
          </w:r>
        </w:p>
        <w:p w14:paraId="41AD87E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_Toc2606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内部服务报告</w:t>
          </w:r>
          <w:r>
            <w:tab/>
          </w:r>
          <w:r>
            <w:fldChar w:fldCharType="begin"/>
          </w:r>
          <w:r>
            <w:instrText xml:space="preserve"> PAGEREF _Toc2606 \h </w:instrText>
          </w:r>
          <w:r>
            <w:fldChar w:fldCharType="separate"/>
          </w:r>
          <w:r>
            <w:t>6</w:t>
          </w:r>
          <w:r>
            <w:fldChar w:fldCharType="end"/>
          </w:r>
          <w:r>
            <w:rPr>
              <w:rFonts w:hint="eastAsia" w:ascii="宋体" w:hAnsi="宋体" w:eastAsia="宋体" w:cs="宋体"/>
              <w:szCs w:val="24"/>
            </w:rPr>
            <w:fldChar w:fldCharType="end"/>
          </w:r>
        </w:p>
        <w:p w14:paraId="2484CCA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_Toc2661 </w:instrText>
          </w:r>
          <w:r>
            <w:rPr>
              <w:rFonts w:hint="eastAsia" w:ascii="宋体" w:hAnsi="宋体" w:eastAsia="宋体" w:cs="宋体"/>
              <w:szCs w:val="24"/>
            </w:rPr>
            <w:fldChar w:fldCharType="separate"/>
          </w:r>
          <w:r>
            <w:rPr>
              <w:rFonts w:hint="default"/>
              <w:lang w:val="en-US" w:eastAsia="zh-CN"/>
            </w:rPr>
            <w:t>6. 报告管理流程</w:t>
          </w:r>
          <w:r>
            <w:tab/>
          </w:r>
          <w:r>
            <w:fldChar w:fldCharType="begin"/>
          </w:r>
          <w:r>
            <w:instrText xml:space="preserve"> PAGEREF _Toc2661 \h </w:instrText>
          </w:r>
          <w:r>
            <w:fldChar w:fldCharType="separate"/>
          </w:r>
          <w:r>
            <w:t>6</w:t>
          </w:r>
          <w:r>
            <w:fldChar w:fldCharType="end"/>
          </w:r>
          <w:r>
            <w:rPr>
              <w:rFonts w:hint="eastAsia" w:ascii="宋体" w:hAnsi="宋体" w:eastAsia="宋体" w:cs="宋体"/>
              <w:szCs w:val="24"/>
            </w:rPr>
            <w:fldChar w:fldCharType="end"/>
          </w:r>
        </w:p>
        <w:p w14:paraId="3068794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_Toc6202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考核指标</w:t>
          </w:r>
          <w:r>
            <w:tab/>
          </w:r>
          <w:r>
            <w:fldChar w:fldCharType="begin"/>
          </w:r>
          <w:r>
            <w:instrText xml:space="preserve"> PAGEREF _Toc6202 \h </w:instrText>
          </w:r>
          <w:r>
            <w:fldChar w:fldCharType="separate"/>
          </w:r>
          <w:r>
            <w:t>7</w:t>
          </w:r>
          <w:r>
            <w:fldChar w:fldCharType="end"/>
          </w:r>
          <w:r>
            <w:rPr>
              <w:rFonts w:hint="eastAsia" w:ascii="宋体" w:hAnsi="宋体" w:eastAsia="宋体" w:cs="宋体"/>
              <w:szCs w:val="24"/>
            </w:rPr>
            <w:fldChar w:fldCharType="end"/>
          </w:r>
        </w:p>
        <w:p w14:paraId="6C54DF3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_Toc8386 </w:instrText>
          </w:r>
          <w:r>
            <w:rPr>
              <w:rFonts w:hint="eastAsia" w:ascii="宋体" w:hAnsi="宋体" w:eastAsia="宋体" w:cs="宋体"/>
              <w:szCs w:val="24"/>
            </w:rPr>
            <w:fldChar w:fldCharType="separate"/>
          </w:r>
          <w:r>
            <w:rPr>
              <w:rFonts w:hint="default"/>
              <w:lang w:val="en-US" w:eastAsia="zh-CN"/>
            </w:rPr>
            <w:t>8. 附则</w:t>
          </w:r>
          <w:r>
            <w:tab/>
          </w:r>
          <w:r>
            <w:fldChar w:fldCharType="begin"/>
          </w:r>
          <w:r>
            <w:instrText xml:space="preserve"> PAGEREF _Toc8386 \h </w:instrText>
          </w:r>
          <w:r>
            <w:fldChar w:fldCharType="separate"/>
          </w:r>
          <w:r>
            <w:t>7</w:t>
          </w:r>
          <w:r>
            <w:fldChar w:fldCharType="end"/>
          </w:r>
          <w:r>
            <w:rPr>
              <w:rFonts w:hint="eastAsia" w:ascii="宋体" w:hAnsi="宋体" w:eastAsia="宋体" w:cs="宋体"/>
              <w:szCs w:val="24"/>
            </w:rPr>
            <w:fldChar w:fldCharType="end"/>
          </w:r>
        </w:p>
        <w:p w14:paraId="363BC819">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6DFB7A40">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8BD2368">
      <w:pPr>
        <w:pStyle w:val="28"/>
        <w:bidi w:val="0"/>
        <w:rPr>
          <w:rFonts w:hint="default"/>
          <w:lang w:val="en-US" w:eastAsia="zh-CN"/>
        </w:rPr>
      </w:pPr>
      <w:bookmarkStart w:id="2" w:name="_Toc17874"/>
      <w:r>
        <w:rPr>
          <w:rFonts w:hint="default"/>
          <w:lang w:val="en-US" w:eastAsia="zh-CN"/>
        </w:rPr>
        <w:t>总则</w:t>
      </w:r>
      <w:bookmarkEnd w:id="2"/>
    </w:p>
    <w:p w14:paraId="6B253F9F">
      <w:pPr>
        <w:pStyle w:val="30"/>
        <w:bidi w:val="0"/>
        <w:rPr>
          <w:rFonts w:hint="default"/>
          <w:lang w:val="en-US" w:eastAsia="zh-CN"/>
        </w:rPr>
      </w:pPr>
      <w:bookmarkStart w:id="3" w:name="_Toc11508"/>
      <w:r>
        <w:rPr>
          <w:rFonts w:hint="default"/>
          <w:lang w:val="en-US" w:eastAsia="zh-CN"/>
        </w:rPr>
        <w:t>目的</w:t>
      </w:r>
      <w:bookmarkEnd w:id="3"/>
    </w:p>
    <w:p w14:paraId="11A5F63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为规范公司软件运维服务过程中各类报告与总结的生成、审核、发布与归档管理，确保服务过程透明、绩效可衡量、信息可追溯，并通过对服务数据的系统分析，为服务质量持续改进、管理决策及客户沟通提供可靠依据，特制定本制度。</w:t>
      </w:r>
    </w:p>
    <w:p w14:paraId="03835DB0">
      <w:pPr>
        <w:pStyle w:val="30"/>
        <w:bidi w:val="0"/>
        <w:rPr>
          <w:rFonts w:hint="default"/>
          <w:lang w:val="en-US" w:eastAsia="zh-CN"/>
        </w:rPr>
      </w:pPr>
      <w:bookmarkStart w:id="4" w:name="_Toc4818"/>
      <w:r>
        <w:rPr>
          <w:rFonts w:hint="default"/>
          <w:lang w:val="en-US" w:eastAsia="zh-CN"/>
        </w:rPr>
        <w:t>适用范围</w:t>
      </w:r>
      <w:bookmarkEnd w:id="4"/>
    </w:p>
    <w:p w14:paraId="433852C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本制度适用于公司为提供软件运维服务而产生的所有服务报告与服务总结，包括但不限于向客户提交的外部报告及用于内部管理的总结报告。</w:t>
      </w:r>
    </w:p>
    <w:p w14:paraId="4B81F025">
      <w:pPr>
        <w:pStyle w:val="28"/>
        <w:bidi w:val="0"/>
        <w:rPr>
          <w:rFonts w:hint="default"/>
          <w:lang w:val="en-US" w:eastAsia="zh-CN"/>
        </w:rPr>
      </w:pPr>
      <w:bookmarkStart w:id="5" w:name="_Toc8729"/>
      <w:r>
        <w:rPr>
          <w:rFonts w:hint="default"/>
          <w:lang w:val="en-US" w:eastAsia="zh-CN"/>
        </w:rPr>
        <w:t>职责分工</w:t>
      </w:r>
      <w:bookmarkEnd w:id="5"/>
    </w:p>
    <w:p w14:paraId="376C39A2">
      <w:pPr>
        <w:pStyle w:val="30"/>
        <w:bidi w:val="0"/>
        <w:rPr>
          <w:rFonts w:hint="default"/>
          <w:lang w:val="en-US" w:eastAsia="zh-CN"/>
        </w:rPr>
      </w:pPr>
      <w:bookmarkStart w:id="6" w:name="_Toc14735"/>
      <w:r>
        <w:rPr>
          <w:rFonts w:hint="default"/>
          <w:lang w:val="en-US" w:eastAsia="zh-CN"/>
        </w:rPr>
        <w:t>报告编制人</w:t>
      </w:r>
      <w:bookmarkEnd w:id="6"/>
    </w:p>
    <w:p w14:paraId="614DD42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责任人：各项目运维项目经理。</w:t>
      </w:r>
    </w:p>
    <w:p w14:paraId="17EB602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职责：负责依据本制度及合同约定，按时、保质编制《服务报告》与《服务总结》；确保报告数据真实、准确、完整；对报告内容的客观性负责。</w:t>
      </w:r>
    </w:p>
    <w:p w14:paraId="720D553C">
      <w:pPr>
        <w:pStyle w:val="30"/>
        <w:bidi w:val="0"/>
        <w:rPr>
          <w:rFonts w:hint="default"/>
          <w:lang w:val="en-US" w:eastAsia="zh-CN"/>
        </w:rPr>
      </w:pPr>
      <w:bookmarkStart w:id="7" w:name="_Toc19320"/>
      <w:r>
        <w:rPr>
          <w:rFonts w:hint="default"/>
          <w:lang w:val="en-US" w:eastAsia="zh-CN"/>
        </w:rPr>
        <w:t>报告审核人</w:t>
      </w:r>
      <w:bookmarkEnd w:id="7"/>
    </w:p>
    <w:p w14:paraId="5433002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责任人：数智运营部经理。</w:t>
      </w:r>
    </w:p>
    <w:p w14:paraId="5EEF09D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职责：负责审核报告内容的规范性、准确性与合规性；审批报告中涉及的改进措施及资源需求；对报告中出现的重大异常情况予以关注并决策。</w:t>
      </w:r>
    </w:p>
    <w:p w14:paraId="63E75951">
      <w:pPr>
        <w:pStyle w:val="30"/>
        <w:bidi w:val="0"/>
        <w:rPr>
          <w:rFonts w:hint="default"/>
          <w:lang w:val="en-US" w:eastAsia="zh-CN"/>
        </w:rPr>
      </w:pPr>
      <w:bookmarkStart w:id="8" w:name="_Toc21580"/>
      <w:r>
        <w:rPr>
          <w:rFonts w:hint="default"/>
          <w:lang w:val="en-US" w:eastAsia="zh-CN"/>
        </w:rPr>
        <w:t>报告归档与管理方</w:t>
      </w:r>
      <w:bookmarkEnd w:id="8"/>
    </w:p>
    <w:p w14:paraId="680BA3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责任人：数智运营部（协同质量管理部）。</w:t>
      </w:r>
    </w:p>
    <w:p w14:paraId="76B0EB2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职责：负责制定和维护报告模板；监督报告按时提交；统一归档所有正式报告；定期对报告质量进行抽查；分析报告趋势，为部门及公司级改进提供输入。</w:t>
      </w:r>
    </w:p>
    <w:p w14:paraId="704873A0">
      <w:pPr>
        <w:pStyle w:val="28"/>
        <w:bidi w:val="0"/>
        <w:rPr>
          <w:rFonts w:hint="default"/>
          <w:lang w:val="en-US" w:eastAsia="zh-CN"/>
        </w:rPr>
      </w:pPr>
      <w:bookmarkStart w:id="9" w:name="_Toc26582"/>
      <w:r>
        <w:rPr>
          <w:rFonts w:hint="default"/>
          <w:lang w:val="en-US" w:eastAsia="zh-CN"/>
        </w:rPr>
        <w:t>报告分类与提交计划</w:t>
      </w:r>
      <w:bookmarkEnd w:id="9"/>
    </w:p>
    <w:p w14:paraId="7B545476">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服务报告根据汇报对象与用途，主要分为两类：</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03"/>
        <w:gridCol w:w="790"/>
        <w:gridCol w:w="3258"/>
        <w:gridCol w:w="1864"/>
        <w:gridCol w:w="1983"/>
      </w:tblGrid>
      <w:tr w14:paraId="2835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rPr>
        <w:tc>
          <w:tcPr>
            <w:tcW w:w="0" w:type="auto"/>
            <w:shd w:val="clear" w:color="auto" w:fill="auto"/>
            <w:tcMar>
              <w:top w:w="120" w:type="dxa"/>
              <w:left w:w="0" w:type="dxa"/>
              <w:bottom w:w="120" w:type="dxa"/>
              <w:right w:w="192" w:type="dxa"/>
            </w:tcMar>
            <w:vAlign w:val="center"/>
          </w:tcPr>
          <w:p w14:paraId="494B7B91">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default" w:ascii="Segoe UI" w:hAnsi="Segoe UI" w:eastAsia="Segoe UI" w:cs="Segoe UI"/>
                <w:b/>
                <w:bCs/>
                <w:i w:val="0"/>
                <w:iCs w:val="0"/>
                <w:caps w:val="0"/>
                <w:snapToGrid w:val="0"/>
                <w:color w:val="000000"/>
                <w:spacing w:val="0"/>
                <w:kern w:val="0"/>
                <w:sz w:val="18"/>
                <w:szCs w:val="18"/>
                <w:lang w:val="en-US" w:eastAsia="zh-CN"/>
              </w:rPr>
              <w:t>报告类型</w:t>
            </w:r>
          </w:p>
        </w:tc>
        <w:tc>
          <w:tcPr>
            <w:tcW w:w="0" w:type="auto"/>
            <w:shd w:val="clear" w:color="auto" w:fill="auto"/>
            <w:tcMar>
              <w:top w:w="120" w:type="dxa"/>
              <w:left w:w="192" w:type="dxa"/>
              <w:bottom w:w="120" w:type="dxa"/>
              <w:right w:w="192" w:type="dxa"/>
            </w:tcMar>
            <w:vAlign w:val="center"/>
          </w:tcPr>
          <w:p w14:paraId="063D782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主要对象</w:t>
            </w:r>
          </w:p>
        </w:tc>
        <w:tc>
          <w:tcPr>
            <w:tcW w:w="3258" w:type="dxa"/>
            <w:shd w:val="clear" w:color="auto" w:fill="auto"/>
            <w:tcMar>
              <w:top w:w="120" w:type="dxa"/>
              <w:left w:w="192" w:type="dxa"/>
              <w:bottom w:w="120" w:type="dxa"/>
              <w:right w:w="192" w:type="dxa"/>
            </w:tcMar>
            <w:vAlign w:val="center"/>
          </w:tcPr>
          <w:p w14:paraId="5EB1487F">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核心目的</w:t>
            </w:r>
          </w:p>
        </w:tc>
        <w:tc>
          <w:tcPr>
            <w:tcW w:w="1864" w:type="dxa"/>
            <w:shd w:val="clear" w:color="auto" w:fill="auto"/>
            <w:tcMar>
              <w:top w:w="120" w:type="dxa"/>
              <w:left w:w="192" w:type="dxa"/>
              <w:bottom w:w="120" w:type="dxa"/>
              <w:right w:w="192" w:type="dxa"/>
            </w:tcMar>
            <w:vAlign w:val="center"/>
          </w:tcPr>
          <w:p w14:paraId="147D2A86">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提交频率</w:t>
            </w:r>
          </w:p>
        </w:tc>
        <w:tc>
          <w:tcPr>
            <w:tcW w:w="0" w:type="auto"/>
            <w:shd w:val="clear" w:color="auto" w:fill="auto"/>
            <w:tcMar>
              <w:top w:w="120" w:type="dxa"/>
              <w:left w:w="192" w:type="dxa"/>
              <w:bottom w:w="120" w:type="dxa"/>
              <w:right w:w="192" w:type="dxa"/>
            </w:tcMar>
            <w:vAlign w:val="center"/>
          </w:tcPr>
          <w:p w14:paraId="599E3852">
            <w:pPr>
              <w:keepNext w:val="0"/>
              <w:keepLines w:val="0"/>
              <w:widowControl/>
              <w:suppressLineNumbers w:val="0"/>
              <w:spacing w:line="300" w:lineRule="atLeast"/>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Style w:val="23"/>
                <w:rFonts w:hint="default" w:ascii="Segoe UI" w:hAnsi="Segoe UI" w:eastAsia="Segoe UI" w:cs="Segoe UI"/>
                <w:b/>
                <w:bCs/>
                <w:i w:val="0"/>
                <w:iCs w:val="0"/>
                <w:caps w:val="0"/>
                <w:snapToGrid w:val="0"/>
                <w:color w:val="000000"/>
                <w:spacing w:val="0"/>
                <w:kern w:val="0"/>
                <w:sz w:val="18"/>
                <w:szCs w:val="18"/>
                <w:lang w:val="en-US" w:eastAsia="zh-CN"/>
              </w:rPr>
              <w:t>分发范围</w:t>
            </w:r>
          </w:p>
        </w:tc>
      </w:tr>
      <w:tr w14:paraId="6421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15307A7A">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服务报告</w:t>
            </w:r>
          </w:p>
        </w:tc>
        <w:tc>
          <w:tcPr>
            <w:tcW w:w="0" w:type="auto"/>
            <w:shd w:val="clear" w:color="auto" w:fill="auto"/>
            <w:tcMar>
              <w:top w:w="120" w:type="dxa"/>
              <w:left w:w="192" w:type="dxa"/>
              <w:bottom w:w="120" w:type="dxa"/>
              <w:right w:w="192" w:type="dxa"/>
            </w:tcMar>
            <w:vAlign w:val="center"/>
          </w:tcPr>
          <w:p w14:paraId="7D99FBE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w:t>
            </w:r>
          </w:p>
        </w:tc>
        <w:tc>
          <w:tcPr>
            <w:tcW w:w="3258" w:type="dxa"/>
            <w:shd w:val="clear" w:color="auto" w:fill="auto"/>
            <w:tcMar>
              <w:top w:w="120" w:type="dxa"/>
              <w:left w:w="192" w:type="dxa"/>
              <w:bottom w:w="120" w:type="dxa"/>
              <w:right w:w="192" w:type="dxa"/>
            </w:tcMar>
            <w:vAlign w:val="center"/>
          </w:tcPr>
          <w:p w14:paraId="6BFEC051">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向客户透明化展示服务绩效、工作量、SLA达成情况及改进计划，提升客户满意度与信任度。</w:t>
            </w:r>
          </w:p>
        </w:tc>
        <w:tc>
          <w:tcPr>
            <w:tcW w:w="1864" w:type="dxa"/>
            <w:shd w:val="clear" w:color="auto" w:fill="auto"/>
            <w:tcMar>
              <w:top w:w="120" w:type="dxa"/>
              <w:left w:w="192" w:type="dxa"/>
              <w:bottom w:w="120" w:type="dxa"/>
              <w:right w:w="192" w:type="dxa"/>
            </w:tcMar>
            <w:vAlign w:val="center"/>
          </w:tcPr>
          <w:p w14:paraId="04C15AF9">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月度/按SLA约定</w:t>
            </w:r>
          </w:p>
        </w:tc>
        <w:tc>
          <w:tcPr>
            <w:tcW w:w="0" w:type="auto"/>
            <w:shd w:val="clear" w:color="auto" w:fill="auto"/>
            <w:tcMar>
              <w:top w:w="120" w:type="dxa"/>
              <w:left w:w="192" w:type="dxa"/>
              <w:bottom w:w="120" w:type="dxa"/>
              <w:right w:w="0" w:type="dxa"/>
            </w:tcMar>
            <w:vAlign w:val="center"/>
          </w:tcPr>
          <w:p w14:paraId="7EC7EF76">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客户接口人、公司数智运营部、质量管理部备案</w:t>
            </w:r>
          </w:p>
        </w:tc>
      </w:tr>
      <w:tr w14:paraId="06AD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120" w:type="dxa"/>
              <w:left w:w="0" w:type="dxa"/>
              <w:bottom w:w="120" w:type="dxa"/>
              <w:right w:w="192" w:type="dxa"/>
            </w:tcMar>
            <w:vAlign w:val="center"/>
          </w:tcPr>
          <w:p w14:paraId="63DB720A">
            <w:pPr>
              <w:keepNext w:val="0"/>
              <w:keepLines w:val="0"/>
              <w:widowControl/>
              <w:suppressLineNumbers w:val="0"/>
              <w:spacing w:line="300" w:lineRule="atLeast"/>
              <w:ind w:left="0" w:leftChars="0" w:right="0" w:rightChars="0" w:firstLine="0" w:firstLineChars="0"/>
              <w:jc w:val="center"/>
              <w:rPr>
                <w:rStyle w:val="23"/>
                <w:rFonts w:hint="default" w:ascii="Segoe UI" w:hAnsi="Segoe UI" w:eastAsia="Segoe UI" w:cs="Segoe UI"/>
                <w:b/>
                <w:bCs/>
                <w:i w:val="0"/>
                <w:iCs w:val="0"/>
                <w:caps w:val="0"/>
                <w:snapToGrid w:val="0"/>
                <w:color w:val="000000"/>
                <w:spacing w:val="0"/>
                <w:kern w:val="0"/>
                <w:sz w:val="18"/>
                <w:szCs w:val="18"/>
                <w:lang w:val="en-US" w:eastAsia="zh-CN"/>
              </w:rPr>
            </w:pPr>
            <w:r>
              <w:rPr>
                <w:rStyle w:val="23"/>
                <w:rFonts w:hint="default" w:ascii="Segoe UI" w:hAnsi="Segoe UI" w:eastAsia="Segoe UI" w:cs="Segoe UI"/>
                <w:b/>
                <w:bCs/>
                <w:i w:val="0"/>
                <w:iCs w:val="0"/>
                <w:caps w:val="0"/>
                <w:snapToGrid w:val="0"/>
                <w:color w:val="000000"/>
                <w:spacing w:val="0"/>
                <w:kern w:val="0"/>
                <w:sz w:val="18"/>
                <w:szCs w:val="18"/>
                <w:lang w:val="en-US" w:eastAsia="zh-CN"/>
              </w:rPr>
              <w:t>服务总结</w:t>
            </w:r>
          </w:p>
        </w:tc>
        <w:tc>
          <w:tcPr>
            <w:tcW w:w="0" w:type="auto"/>
            <w:shd w:val="clear" w:color="auto" w:fill="auto"/>
            <w:tcMar>
              <w:top w:w="120" w:type="dxa"/>
              <w:left w:w="192" w:type="dxa"/>
              <w:bottom w:w="120" w:type="dxa"/>
              <w:right w:w="192" w:type="dxa"/>
            </w:tcMar>
            <w:vAlign w:val="center"/>
          </w:tcPr>
          <w:p w14:paraId="1F6CBF28">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内部管理</w:t>
            </w:r>
          </w:p>
        </w:tc>
        <w:tc>
          <w:tcPr>
            <w:tcW w:w="3258" w:type="dxa"/>
            <w:shd w:val="clear" w:color="auto" w:fill="auto"/>
            <w:tcMar>
              <w:top w:w="120" w:type="dxa"/>
              <w:left w:w="192" w:type="dxa"/>
              <w:bottom w:w="120" w:type="dxa"/>
              <w:right w:w="192" w:type="dxa"/>
            </w:tcMar>
            <w:vAlign w:val="center"/>
          </w:tcPr>
          <w:p w14:paraId="7EC1B8F0">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项目内部复盘，分析服务指标、资源效率、流程合规性，为内部考核、能力提升及资源规划提供依据。</w:t>
            </w:r>
          </w:p>
        </w:tc>
        <w:tc>
          <w:tcPr>
            <w:tcW w:w="1864" w:type="dxa"/>
            <w:shd w:val="clear" w:color="auto" w:fill="auto"/>
            <w:tcMar>
              <w:top w:w="120" w:type="dxa"/>
              <w:left w:w="192" w:type="dxa"/>
              <w:bottom w:w="120" w:type="dxa"/>
              <w:right w:w="192" w:type="dxa"/>
            </w:tcMar>
            <w:vAlign w:val="center"/>
          </w:tcPr>
          <w:p w14:paraId="01A49643">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月度/年度</w:t>
            </w:r>
          </w:p>
        </w:tc>
        <w:tc>
          <w:tcPr>
            <w:tcW w:w="0" w:type="auto"/>
            <w:shd w:val="clear" w:color="auto" w:fill="auto"/>
            <w:tcMar>
              <w:top w:w="120" w:type="dxa"/>
              <w:left w:w="192" w:type="dxa"/>
              <w:bottom w:w="120" w:type="dxa"/>
              <w:right w:w="0" w:type="dxa"/>
            </w:tcMar>
            <w:vAlign w:val="center"/>
          </w:tcPr>
          <w:p w14:paraId="5257FF6B">
            <w:pPr>
              <w:keepNext w:val="0"/>
              <w:keepLines w:val="0"/>
              <w:widowControl/>
              <w:suppressLineNumbers w:val="0"/>
              <w:spacing w:line="300" w:lineRule="atLeast"/>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数智运营部、质量管理部、相关项目组成员</w:t>
            </w:r>
          </w:p>
        </w:tc>
      </w:tr>
    </w:tbl>
    <w:p w14:paraId="6BACF4F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注：具体提交周期、方式及详细范围应在《服务级别协议》或项目计划中明确。</w:t>
      </w:r>
    </w:p>
    <w:p w14:paraId="44613622">
      <w:pPr>
        <w:pStyle w:val="28"/>
        <w:bidi w:val="0"/>
        <w:rPr>
          <w:rFonts w:hint="default"/>
          <w:lang w:val="en-US" w:eastAsia="zh-CN"/>
        </w:rPr>
      </w:pPr>
      <w:bookmarkStart w:id="10" w:name="_Toc9756"/>
      <w:r>
        <w:rPr>
          <w:rFonts w:hint="default"/>
          <w:lang w:val="en-US" w:eastAsia="zh-CN"/>
        </w:rPr>
        <w:t>报告管理策略</w:t>
      </w:r>
      <w:bookmarkEnd w:id="10"/>
    </w:p>
    <w:p w14:paraId="0CE3041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服务报告的管理应遵循以下策略：</w:t>
      </w:r>
    </w:p>
    <w:p w14:paraId="430DC187">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需求导向：报告内容与格式需预先与客户及内部管理层沟通确认，满足其决策与监督需求。</w:t>
      </w:r>
    </w:p>
    <w:p w14:paraId="0685C5D8">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数据驱动：报告中的关键绩效指标（KPI）必须可测量、可验证，并提供历史趋势对比分析。</w:t>
      </w:r>
    </w:p>
    <w:p w14:paraId="486A155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质量保证：确保报告的及时性、准确性、可靠性与一致性。报告应经过审核流程后方可发布。</w:t>
      </w:r>
    </w:p>
    <w:p w14:paraId="2382E724">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呈现清晰：采用图表等直观形式呈现数据，语言应简洁、专业、避免歧义，便于不同背景的读者理解。</w:t>
      </w:r>
    </w:p>
    <w:p w14:paraId="3BED5B6F">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持续改进：报告不仅反映现状，更应分析根因，提出切实可行的改进建议或行动计划。</w:t>
      </w:r>
    </w:p>
    <w:p w14:paraId="41A3E662">
      <w:pPr>
        <w:pStyle w:val="28"/>
        <w:bidi w:val="0"/>
        <w:rPr>
          <w:rFonts w:hint="default"/>
          <w:lang w:val="en-US" w:eastAsia="zh-CN"/>
        </w:rPr>
      </w:pPr>
      <w:bookmarkStart w:id="11" w:name="_Toc14285"/>
      <w:r>
        <w:rPr>
          <w:rFonts w:hint="default"/>
          <w:lang w:val="en-US" w:eastAsia="zh-CN"/>
        </w:rPr>
        <w:t>报告核心内容要求</w:t>
      </w:r>
      <w:bookmarkEnd w:id="11"/>
    </w:p>
    <w:p w14:paraId="11FA5D59">
      <w:pPr>
        <w:pStyle w:val="30"/>
        <w:bidi w:val="0"/>
        <w:rPr>
          <w:rFonts w:hint="default"/>
          <w:lang w:val="en-US" w:eastAsia="zh-CN"/>
        </w:rPr>
      </w:pPr>
      <w:bookmarkStart w:id="12" w:name="_Toc14238"/>
      <w:r>
        <w:rPr>
          <w:rFonts w:hint="eastAsia"/>
          <w:lang w:val="en-US" w:eastAsia="zh-CN"/>
        </w:rPr>
        <w:t>外部服务报告</w:t>
      </w:r>
      <w:bookmarkEnd w:id="12"/>
    </w:p>
    <w:p w14:paraId="3D6BDF9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执行摘要：本期核心绩效、重大成就与关键问题的概述。</w:t>
      </w:r>
    </w:p>
    <w:p w14:paraId="2B19F4D5">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服务级别达成分析：对照SLA，逐项说明各项指标（如可用性、响应时间、解决时间等）的达成情况，对未达标项进行根本原因分析。</w:t>
      </w:r>
    </w:p>
    <w:p w14:paraId="3312B79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服务工作量综述：处理的事件、服务请求、变更的数量统计与分类分析。</w:t>
      </w:r>
    </w:p>
    <w:p w14:paraId="0FA1054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重大事件回顾：重大故障或变更的实施过程、影响、解决措施及经验教训。</w:t>
      </w:r>
    </w:p>
    <w:p w14:paraId="1B5B871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客户满意度反馈：本期收集到的客户反馈摘要及处理情况。</w:t>
      </w:r>
    </w:p>
    <w:p w14:paraId="7B3A3C12">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改进计划与建议：针对本期问题的改进措施，以及为提升服务价值提出的优化建议。</w:t>
      </w:r>
    </w:p>
    <w:p w14:paraId="10A725DB">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下阶段工作计划：下一报告周期内的主要工作计划与承诺。</w:t>
      </w:r>
    </w:p>
    <w:p w14:paraId="180C2B47">
      <w:pPr>
        <w:pStyle w:val="30"/>
        <w:bidi w:val="0"/>
        <w:rPr>
          <w:rFonts w:hint="eastAsia"/>
          <w:lang w:val="en-US" w:eastAsia="zh-CN"/>
        </w:rPr>
      </w:pPr>
      <w:bookmarkStart w:id="13" w:name="_Toc2606"/>
      <w:r>
        <w:rPr>
          <w:rFonts w:hint="eastAsia"/>
          <w:lang w:val="en-US" w:eastAsia="zh-CN"/>
        </w:rPr>
        <w:t>内部服务报告</w:t>
      </w:r>
      <w:bookmarkEnd w:id="13"/>
    </w:p>
    <w:p w14:paraId="166835B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项目绩效深度分析：SLA达成趋势、资源（人力/工具）利用率、成本效率分析。</w:t>
      </w:r>
    </w:p>
    <w:p w14:paraId="08C920B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流程合规性检查：总结事件、问题、变更、配置等流程的执行是否符合公司质量体系与ITSS标准。</w:t>
      </w:r>
    </w:p>
    <w:p w14:paraId="3986F140">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团队能力与知识管理：技能培训效果、知识库贡献、典型案例积累情况。</w:t>
      </w:r>
    </w:p>
    <w:p w14:paraId="32636FF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风险与问题汇总：识别出的运营风险、重复发生的问题及长期改进项。</w:t>
      </w:r>
    </w:p>
    <w:p w14:paraId="443B1BA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内部改进计划：针对内部流程、工具、技能的优化措施与行动计划。</w:t>
      </w:r>
    </w:p>
    <w:p w14:paraId="1ED540ED">
      <w:pPr>
        <w:pStyle w:val="28"/>
        <w:bidi w:val="0"/>
        <w:rPr>
          <w:rFonts w:hint="default"/>
          <w:lang w:val="en-US" w:eastAsia="zh-CN"/>
        </w:rPr>
      </w:pPr>
      <w:bookmarkStart w:id="14" w:name="_Toc2661"/>
      <w:r>
        <w:rPr>
          <w:rFonts w:hint="default"/>
          <w:lang w:val="en-US" w:eastAsia="zh-CN"/>
        </w:rPr>
        <w:t>报告管理流程</w:t>
      </w:r>
      <w:bookmarkEnd w:id="14"/>
    </w:p>
    <w:p w14:paraId="64671141">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计划与准备：数智运营部根据SLA要求，制定年度/季度报告计划。运维项目经理负责日常数据收集与记录。</w:t>
      </w:r>
    </w:p>
    <w:p w14:paraId="5B362E0F">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编制：报告周期结束后，运维项目经理依据模板在规定时间内完成报告编制。</w:t>
      </w:r>
    </w:p>
    <w:p w14:paraId="67E4210D">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审核：编制完成的报告提交至数智运营部经理审核。审核重点包括数据准确性、结论客观性、改进措施可行性等。涉及重大事项需报更高层级审批。</w:t>
      </w:r>
    </w:p>
    <w:p w14:paraId="5169E10B">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发布与提交：审核通过后的《服务报告》按约定方式提交给客户；《服务总结》提交至相关部门及管理层。</w:t>
      </w:r>
    </w:p>
    <w:p w14:paraId="544E6461">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归档：数智运营部负责将最终版报告进行统一归档，确保版本受控、便于查阅。</w:t>
      </w:r>
    </w:p>
    <w:p w14:paraId="7ADE2E11">
      <w:pPr>
        <w:pStyle w:val="29"/>
        <w:keepNext w:val="0"/>
        <w:keepLines w:val="0"/>
        <w:pageBreakBefore w:val="0"/>
        <w:widowControl w:val="0"/>
        <w:numPr>
          <w:ilvl w:val="0"/>
          <w:numId w:val="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回顾与利用：质量管理部及数智运营部管理层定期回顾报告内容，将其作为管理评审、流程优化和年度规划的重要输入。</w:t>
      </w:r>
    </w:p>
    <w:p w14:paraId="49DD02C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6202"/>
      <w:r>
        <w:rPr>
          <w:rFonts w:hint="eastAsia"/>
          <w:lang w:val="en-US" w:eastAsia="zh-CN"/>
        </w:rPr>
        <w:t>考核指标</w:t>
      </w:r>
      <w:bookmarkEnd w:id="15"/>
    </w:p>
    <w:tbl>
      <w:tblPr>
        <w:tblStyle w:val="20"/>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27"/>
        <w:gridCol w:w="1092"/>
        <w:gridCol w:w="3300"/>
        <w:gridCol w:w="1056"/>
      </w:tblGrid>
      <w:tr w14:paraId="6A076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6DEAFD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109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858FBCE">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33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3E75EDB">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105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01DB0DB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79CA2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222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C7C9E">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服务报告交付及时率</w:t>
            </w:r>
          </w:p>
        </w:tc>
        <w:tc>
          <w:tcPr>
            <w:tcW w:w="10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334EF4">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≥90%</w:t>
            </w:r>
          </w:p>
        </w:tc>
        <w:tc>
          <w:tcPr>
            <w:tcW w:w="33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27D72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（服务报告按时提交的数量/服务报告总数量）*100%</w:t>
            </w:r>
          </w:p>
        </w:tc>
        <w:tc>
          <w:tcPr>
            <w:tcW w:w="105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B78291">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lang w:val="en-US" w:eastAsia="zh-CN"/>
              </w:rPr>
            </w:pPr>
            <w:r>
              <w:rPr>
                <w:rFonts w:hint="eastAsia" w:ascii="宋体" w:hAnsi="宋体" w:eastAsia="宋体" w:cs="宋体"/>
                <w:i w:val="0"/>
                <w:iCs w:val="0"/>
                <w:snapToGrid w:val="0"/>
                <w:color w:val="000000"/>
                <w:kern w:val="0"/>
                <w:sz w:val="21"/>
                <w:szCs w:val="21"/>
                <w:u w:val="none"/>
                <w:lang w:val="en-US" w:eastAsia="zh-CN"/>
              </w:rPr>
              <w:t>季度</w:t>
            </w:r>
          </w:p>
        </w:tc>
      </w:tr>
    </w:tbl>
    <w:p w14:paraId="462C65B0">
      <w:pPr>
        <w:pStyle w:val="28"/>
        <w:bidi w:val="0"/>
        <w:rPr>
          <w:rFonts w:hint="default"/>
          <w:lang w:val="en-US" w:eastAsia="zh-CN"/>
        </w:rPr>
      </w:pPr>
      <w:bookmarkStart w:id="16" w:name="_Toc8386"/>
      <w:r>
        <w:rPr>
          <w:rFonts w:hint="default"/>
          <w:lang w:val="en-US" w:eastAsia="zh-CN"/>
        </w:rPr>
        <w:t>附则</w:t>
      </w:r>
      <w:bookmarkEnd w:id="16"/>
    </w:p>
    <w:p w14:paraId="6B5B708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本制度由数智运营部负责解释与修订。</w:t>
      </w:r>
    </w:p>
    <w:p w14:paraId="28EB38B1">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本制度自发布之日起生效。原相关管理规定与本制度不一致的，以本制度为准。</w:t>
      </w:r>
    </w:p>
    <w:p w14:paraId="6E787AE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本制度涉及的《服务报告模板》、《服务总结模板》等，由数智运营部负责制定与更新。</w:t>
      </w:r>
    </w:p>
    <w:p w14:paraId="4E4A59B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9E35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A19CC06"/>
    <w:multiLevelType w:val="singleLevel"/>
    <w:tmpl w:val="9A19CC06"/>
    <w:lvl w:ilvl="0" w:tentative="0">
      <w:start w:val="1"/>
      <w:numFmt w:val="decimal"/>
      <w:lvlText w:val="%1."/>
      <w:lvlJc w:val="left"/>
      <w:pPr>
        <w:ind w:left="425" w:hanging="425"/>
      </w:pPr>
      <w:rPr>
        <w:rFonts w:hint="default"/>
      </w:rPr>
    </w:lvl>
  </w:abstractNum>
  <w:abstractNum w:abstractNumId="2">
    <w:nsid w:val="A10A99EF"/>
    <w:multiLevelType w:val="singleLevel"/>
    <w:tmpl w:val="A10A99EF"/>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9E41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1983</Words>
  <Characters>2089</Characters>
  <Lines>0</Lines>
  <Paragraphs>0</Paragraphs>
  <TotalTime>0</TotalTime>
  <ScaleCrop>false</ScaleCrop>
  <LinksUpToDate>false</LinksUpToDate>
  <CharactersWithSpaces>2155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2026-02-04T16:11:40Z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2052-12.1.0.24657</vt:lpwstr>
  </property>
  <property fmtid="{D5CDD505-2E9C-101B-9397-08002B2CF9AE}" pid="4" name="KSOTemplateDocerSaveRecord">
    <vt:lpwstr>eyJoZGlkIjoiZWI4NmUzMGY2ODA3MDc4ZTFlMjZjZTAyMjM0NmVmODgiLCJ1c2VySWQiOiIxMDc1MzgyOSJ9</vt:lpwstr>
  </property>
</Properties>
</file>