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B2ABC0">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30349"/>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江西通信产业服务有限公司</w:t>
      </w:r>
      <w:bookmarkEnd w:id="0"/>
    </w:p>
    <w:p w14:paraId="6BE72B94">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5805"/>
      <w:r>
        <w:rPr>
          <w:rFonts w:hint="eastAsia"/>
          <w:lang w:val="en-US" w:eastAsia="zh-CN"/>
        </w:rPr>
        <w:t>事件管理制度</w:t>
      </w:r>
      <w:bookmarkEnd w:id="1"/>
    </w:p>
    <w:p w14:paraId="19A5D288">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JXTX</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6</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2202C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4352AC34">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数智运营部</w:t>
            </w:r>
          </w:p>
        </w:tc>
        <w:tc>
          <w:tcPr>
            <w:tcW w:w="2708" w:type="dxa"/>
          </w:tcPr>
          <w:p w14:paraId="1C857225">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54A60B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04B73F22">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1DCEFD21">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7D49AE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712AAAE1">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涂志云</w:t>
            </w:r>
          </w:p>
        </w:tc>
        <w:tc>
          <w:tcPr>
            <w:tcW w:w="2708" w:type="dxa"/>
          </w:tcPr>
          <w:p w14:paraId="73FB2833">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45F47635">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6BED437A">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0634B9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60148AFA">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2682DFEE">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3CDEF398">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2A8D11D6">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1DE052EC">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71D83C8D">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15584E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14BDD861">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1</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10</w:t>
            </w:r>
          </w:p>
        </w:tc>
        <w:tc>
          <w:tcPr>
            <w:tcW w:w="972" w:type="dxa"/>
          </w:tcPr>
          <w:p w14:paraId="6E2F5D3A">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5FD9957B">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58488FF5">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徐超超</w:t>
            </w:r>
          </w:p>
        </w:tc>
        <w:tc>
          <w:tcPr>
            <w:tcW w:w="1606" w:type="dxa"/>
          </w:tcPr>
          <w:p w14:paraId="35FC0F00">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eastAsia="宋体" w:cs="宋体"/>
                <w:spacing w:val="200"/>
                <w:kern w:val="0"/>
                <w:sz w:val="20"/>
                <w:szCs w:val="20"/>
              </w:rPr>
              <w:t>何</w:t>
            </w:r>
            <w:r>
              <w:rPr>
                <w:rFonts w:hint="eastAsia" w:asciiTheme="minorAscii" w:hAnsiTheme="minorAscii" w:eastAsiaTheme="minorEastAsia"/>
                <w:spacing w:val="0"/>
                <w:kern w:val="0"/>
                <w:sz w:val="21"/>
                <w:vertAlign w:val="baseline"/>
                <w:lang w:val="en-US" w:eastAsia="zh-CN"/>
              </w:rPr>
              <w:t>峻</w:t>
            </w:r>
          </w:p>
        </w:tc>
        <w:tc>
          <w:tcPr>
            <w:tcW w:w="915" w:type="dxa"/>
          </w:tcPr>
          <w:p w14:paraId="642D5A6A">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涂志云</w:t>
            </w:r>
          </w:p>
        </w:tc>
      </w:tr>
      <w:tr w14:paraId="4974A2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0573E5C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2E9A6D6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67B56C7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5568B48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6EB7A2F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21BE410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3FC9D2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617D041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4607215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3EC5607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23658F9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53B1A34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376673E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1F324F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1FEA492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0DA53A6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5B36C1F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45605DE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50C3792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6F16E85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47D5780A">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5F565CA7">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5946E6D0">
          <w:pPr>
            <w:pStyle w:val="16"/>
            <w:tabs>
              <w:tab w:val="right" w:leader="dot" w:pos="8306"/>
            </w:tabs>
          </w:pPr>
          <w:bookmarkStart w:id="28" w:name="_GoBack"/>
          <w:bookmarkEnd w:id="28"/>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_Toc30349 </w:instrText>
          </w:r>
          <w:r>
            <w:rPr>
              <w:rFonts w:hint="eastAsia" w:ascii="宋体" w:hAnsi="宋体" w:eastAsia="宋体" w:cs="宋体"/>
              <w:szCs w:val="24"/>
            </w:rPr>
            <w:fldChar w:fldCharType="separate"/>
          </w:r>
          <w:r>
            <w:rPr>
              <w:rFonts w:hint="eastAsia"/>
              <w:lang w:val="en-US" w:eastAsia="zh-CN"/>
            </w:rPr>
            <w:t>江西通信产业服务有限公司</w:t>
          </w:r>
          <w:r>
            <w:tab/>
          </w:r>
          <w:r>
            <w:fldChar w:fldCharType="begin"/>
          </w:r>
          <w:r>
            <w:instrText xml:space="preserve"> PAGEREF _Toc30349 \h </w:instrText>
          </w:r>
          <w:r>
            <w:fldChar w:fldCharType="separate"/>
          </w:r>
          <w:r>
            <w:t>1</w:t>
          </w:r>
          <w:r>
            <w:fldChar w:fldCharType="end"/>
          </w:r>
          <w:r>
            <w:rPr>
              <w:rFonts w:hint="eastAsia" w:ascii="宋体" w:hAnsi="宋体" w:eastAsia="宋体" w:cs="宋体"/>
              <w:szCs w:val="24"/>
            </w:rPr>
            <w:fldChar w:fldCharType="end"/>
          </w:r>
        </w:p>
        <w:p w14:paraId="01E078B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_Toc5805 </w:instrText>
          </w:r>
          <w:r>
            <w:rPr>
              <w:rFonts w:hint="eastAsia" w:ascii="宋体" w:hAnsi="宋体" w:eastAsia="宋体" w:cs="宋体"/>
              <w:szCs w:val="24"/>
            </w:rPr>
            <w:fldChar w:fldCharType="separate"/>
          </w:r>
          <w:r>
            <w:rPr>
              <w:rFonts w:hint="eastAsia"/>
              <w:lang w:val="en-US" w:eastAsia="zh-CN"/>
            </w:rPr>
            <w:t>事件管理制度</w:t>
          </w:r>
          <w:r>
            <w:tab/>
          </w:r>
          <w:r>
            <w:fldChar w:fldCharType="begin"/>
          </w:r>
          <w:r>
            <w:instrText xml:space="preserve"> PAGEREF _Toc5805 \h </w:instrText>
          </w:r>
          <w:r>
            <w:fldChar w:fldCharType="separate"/>
          </w:r>
          <w:r>
            <w:t>1</w:t>
          </w:r>
          <w:r>
            <w:fldChar w:fldCharType="end"/>
          </w:r>
          <w:r>
            <w:rPr>
              <w:rFonts w:hint="eastAsia" w:ascii="宋体" w:hAnsi="宋体" w:eastAsia="宋体" w:cs="宋体"/>
              <w:szCs w:val="24"/>
            </w:rPr>
            <w:fldChar w:fldCharType="end"/>
          </w:r>
        </w:p>
        <w:p w14:paraId="02F6C71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_Toc25312 </w:instrText>
          </w:r>
          <w:r>
            <w:rPr>
              <w:rFonts w:hint="eastAsia" w:ascii="宋体" w:hAnsi="宋体" w:eastAsia="宋体" w:cs="宋体"/>
              <w:szCs w:val="24"/>
            </w:rPr>
            <w:fldChar w:fldCharType="separate"/>
          </w:r>
          <w:r>
            <w:rPr>
              <w:rFonts w:hint="default"/>
              <w:lang w:val="en-US" w:eastAsia="zh-CN"/>
            </w:rPr>
            <w:t xml:space="preserve">1. </w:t>
          </w:r>
          <w:r>
            <w:rPr>
              <w:rFonts w:hint="eastAsia"/>
              <w:lang w:val="en-US" w:eastAsia="zh-CN"/>
            </w:rPr>
            <w:t>总则</w:t>
          </w:r>
          <w:r>
            <w:tab/>
          </w:r>
          <w:r>
            <w:fldChar w:fldCharType="begin"/>
          </w:r>
          <w:r>
            <w:instrText xml:space="preserve"> PAGEREF _Toc25312 \h </w:instrText>
          </w:r>
          <w:r>
            <w:fldChar w:fldCharType="separate"/>
          </w:r>
          <w:r>
            <w:t>4</w:t>
          </w:r>
          <w:r>
            <w:fldChar w:fldCharType="end"/>
          </w:r>
          <w:r>
            <w:rPr>
              <w:rFonts w:hint="eastAsia" w:ascii="宋体" w:hAnsi="宋体" w:eastAsia="宋体" w:cs="宋体"/>
              <w:szCs w:val="24"/>
            </w:rPr>
            <w:fldChar w:fldCharType="end"/>
          </w:r>
        </w:p>
        <w:p w14:paraId="52CB45B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_Toc1852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_Toc1852 \h </w:instrText>
          </w:r>
          <w:r>
            <w:fldChar w:fldCharType="separate"/>
          </w:r>
          <w:r>
            <w:t>4</w:t>
          </w:r>
          <w:r>
            <w:fldChar w:fldCharType="end"/>
          </w:r>
          <w:r>
            <w:rPr>
              <w:rFonts w:hint="eastAsia" w:ascii="宋体" w:hAnsi="宋体" w:eastAsia="宋体" w:cs="宋体"/>
              <w:szCs w:val="24"/>
            </w:rPr>
            <w:fldChar w:fldCharType="end"/>
          </w:r>
        </w:p>
        <w:p w14:paraId="2336FB8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_Toc4924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_Toc4924 \h </w:instrText>
          </w:r>
          <w:r>
            <w:fldChar w:fldCharType="separate"/>
          </w:r>
          <w:r>
            <w:t>4</w:t>
          </w:r>
          <w:r>
            <w:fldChar w:fldCharType="end"/>
          </w:r>
          <w:r>
            <w:rPr>
              <w:rFonts w:hint="eastAsia" w:ascii="宋体" w:hAnsi="宋体" w:eastAsia="宋体" w:cs="宋体"/>
              <w:szCs w:val="24"/>
            </w:rPr>
            <w:fldChar w:fldCharType="end"/>
          </w:r>
        </w:p>
        <w:p w14:paraId="73CA29C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_Toc2098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术语与定义</w:t>
          </w:r>
          <w:r>
            <w:tab/>
          </w:r>
          <w:r>
            <w:fldChar w:fldCharType="begin"/>
          </w:r>
          <w:r>
            <w:instrText xml:space="preserve"> PAGEREF _Toc2098 \h </w:instrText>
          </w:r>
          <w:r>
            <w:fldChar w:fldCharType="separate"/>
          </w:r>
          <w:r>
            <w:t>4</w:t>
          </w:r>
          <w:r>
            <w:fldChar w:fldCharType="end"/>
          </w:r>
          <w:r>
            <w:rPr>
              <w:rFonts w:hint="eastAsia" w:ascii="宋体" w:hAnsi="宋体" w:eastAsia="宋体" w:cs="宋体"/>
              <w:szCs w:val="24"/>
            </w:rPr>
            <w:fldChar w:fldCharType="end"/>
          </w:r>
        </w:p>
        <w:p w14:paraId="5C30655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_Toc4575 </w:instrText>
          </w:r>
          <w:r>
            <w:rPr>
              <w:rFonts w:hint="eastAsia" w:ascii="宋体" w:hAnsi="宋体" w:eastAsia="宋体" w:cs="宋体"/>
              <w:szCs w:val="24"/>
            </w:rPr>
            <w:fldChar w:fldCharType="separate"/>
          </w:r>
          <w:r>
            <w:rPr>
              <w:rFonts w:hint="default"/>
              <w:lang w:val="en-US" w:eastAsia="zh-CN"/>
            </w:rPr>
            <w:t xml:space="preserve">3. </w:t>
          </w:r>
          <w:r>
            <w:rPr>
              <w:rFonts w:hint="eastAsia"/>
              <w:lang w:val="en-US" w:eastAsia="zh-CN"/>
            </w:rPr>
            <w:t>角色与职责</w:t>
          </w:r>
          <w:r>
            <w:tab/>
          </w:r>
          <w:r>
            <w:fldChar w:fldCharType="begin"/>
          </w:r>
          <w:r>
            <w:instrText xml:space="preserve"> PAGEREF _Toc4575 \h </w:instrText>
          </w:r>
          <w:r>
            <w:fldChar w:fldCharType="separate"/>
          </w:r>
          <w:r>
            <w:t>5</w:t>
          </w:r>
          <w:r>
            <w:fldChar w:fldCharType="end"/>
          </w:r>
          <w:r>
            <w:rPr>
              <w:rFonts w:hint="eastAsia" w:ascii="宋体" w:hAnsi="宋体" w:eastAsia="宋体" w:cs="宋体"/>
              <w:szCs w:val="24"/>
            </w:rPr>
            <w:fldChar w:fldCharType="end"/>
          </w:r>
        </w:p>
        <w:p w14:paraId="18E517F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_Toc24799 </w:instrText>
          </w:r>
          <w:r>
            <w:rPr>
              <w:rFonts w:hint="eastAsia" w:ascii="宋体" w:hAnsi="宋体" w:eastAsia="宋体" w:cs="宋体"/>
              <w:szCs w:val="24"/>
            </w:rPr>
            <w:fldChar w:fldCharType="separate"/>
          </w:r>
          <w:r>
            <w:rPr>
              <w:rFonts w:hint="default"/>
              <w:lang w:val="en-US" w:eastAsia="zh-CN"/>
            </w:rPr>
            <w:t xml:space="preserve">3.1. </w:t>
          </w:r>
          <w:r>
            <w:rPr>
              <w:rFonts w:hint="eastAsia"/>
              <w:lang w:val="en-US" w:eastAsia="zh-CN"/>
            </w:rPr>
            <w:t>事件经理</w:t>
          </w:r>
          <w:r>
            <w:tab/>
          </w:r>
          <w:r>
            <w:fldChar w:fldCharType="begin"/>
          </w:r>
          <w:r>
            <w:instrText xml:space="preserve"> PAGEREF _Toc24799 \h </w:instrText>
          </w:r>
          <w:r>
            <w:fldChar w:fldCharType="separate"/>
          </w:r>
          <w:r>
            <w:t>5</w:t>
          </w:r>
          <w:r>
            <w:fldChar w:fldCharType="end"/>
          </w:r>
          <w:r>
            <w:rPr>
              <w:rFonts w:hint="eastAsia" w:ascii="宋体" w:hAnsi="宋体" w:eastAsia="宋体" w:cs="宋体"/>
              <w:szCs w:val="24"/>
            </w:rPr>
            <w:fldChar w:fldCharType="end"/>
          </w:r>
        </w:p>
        <w:p w14:paraId="5AADACA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_Toc32442 </w:instrText>
          </w:r>
          <w:r>
            <w:rPr>
              <w:rFonts w:hint="eastAsia" w:ascii="宋体" w:hAnsi="宋体" w:eastAsia="宋体" w:cs="宋体"/>
              <w:szCs w:val="24"/>
            </w:rPr>
            <w:fldChar w:fldCharType="separate"/>
          </w:r>
          <w:r>
            <w:rPr>
              <w:rFonts w:hint="default"/>
              <w:lang w:val="en-US" w:eastAsia="zh-CN"/>
            </w:rPr>
            <w:t xml:space="preserve">3.2. </w:t>
          </w:r>
          <w:r>
            <w:rPr>
              <w:rFonts w:hint="eastAsia"/>
              <w:lang w:val="en-US" w:eastAsia="zh-CN"/>
            </w:rPr>
            <w:t>服务台专员</w:t>
          </w:r>
          <w:r>
            <w:tab/>
          </w:r>
          <w:r>
            <w:fldChar w:fldCharType="begin"/>
          </w:r>
          <w:r>
            <w:instrText xml:space="preserve"> PAGEREF _Toc32442 \h </w:instrText>
          </w:r>
          <w:r>
            <w:fldChar w:fldCharType="separate"/>
          </w:r>
          <w:r>
            <w:t>5</w:t>
          </w:r>
          <w:r>
            <w:fldChar w:fldCharType="end"/>
          </w:r>
          <w:r>
            <w:rPr>
              <w:rFonts w:hint="eastAsia" w:ascii="宋体" w:hAnsi="宋体" w:eastAsia="宋体" w:cs="宋体"/>
              <w:szCs w:val="24"/>
            </w:rPr>
            <w:fldChar w:fldCharType="end"/>
          </w:r>
        </w:p>
        <w:p w14:paraId="7D934E0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_Toc22472 </w:instrText>
          </w:r>
          <w:r>
            <w:rPr>
              <w:rFonts w:hint="eastAsia" w:ascii="宋体" w:hAnsi="宋体" w:eastAsia="宋体" w:cs="宋体"/>
              <w:szCs w:val="24"/>
            </w:rPr>
            <w:fldChar w:fldCharType="separate"/>
          </w:r>
          <w:r>
            <w:rPr>
              <w:rFonts w:hint="default"/>
              <w:lang w:val="en-US" w:eastAsia="zh-CN"/>
            </w:rPr>
            <w:t xml:space="preserve">3.3. </w:t>
          </w:r>
          <w:r>
            <w:rPr>
              <w:rFonts w:hint="eastAsia"/>
              <w:lang w:val="en-US" w:eastAsia="zh-CN"/>
            </w:rPr>
            <w:t>运维工程师</w:t>
          </w:r>
          <w:r>
            <w:tab/>
          </w:r>
          <w:r>
            <w:fldChar w:fldCharType="begin"/>
          </w:r>
          <w:r>
            <w:instrText xml:space="preserve"> PAGEREF _Toc22472 \h </w:instrText>
          </w:r>
          <w:r>
            <w:fldChar w:fldCharType="separate"/>
          </w:r>
          <w:r>
            <w:t>5</w:t>
          </w:r>
          <w:r>
            <w:fldChar w:fldCharType="end"/>
          </w:r>
          <w:r>
            <w:rPr>
              <w:rFonts w:hint="eastAsia" w:ascii="宋体" w:hAnsi="宋体" w:eastAsia="宋体" w:cs="宋体"/>
              <w:szCs w:val="24"/>
            </w:rPr>
            <w:fldChar w:fldCharType="end"/>
          </w:r>
        </w:p>
        <w:p w14:paraId="5867388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_Toc31538 </w:instrText>
          </w:r>
          <w:r>
            <w:rPr>
              <w:rFonts w:hint="eastAsia" w:ascii="宋体" w:hAnsi="宋体" w:eastAsia="宋体" w:cs="宋体"/>
              <w:szCs w:val="24"/>
            </w:rPr>
            <w:fldChar w:fldCharType="separate"/>
          </w:r>
          <w:r>
            <w:rPr>
              <w:rFonts w:hint="default"/>
              <w:lang w:val="en-US" w:eastAsia="zh-CN"/>
            </w:rPr>
            <w:t xml:space="preserve">3.4. </w:t>
          </w:r>
          <w:r>
            <w:rPr>
              <w:rFonts w:hint="eastAsia"/>
              <w:lang w:val="en-US" w:eastAsia="zh-CN"/>
            </w:rPr>
            <w:t>运维项目经理</w:t>
          </w:r>
          <w:r>
            <w:tab/>
          </w:r>
          <w:r>
            <w:fldChar w:fldCharType="begin"/>
          </w:r>
          <w:r>
            <w:instrText xml:space="preserve"> PAGEREF _Toc31538 \h </w:instrText>
          </w:r>
          <w:r>
            <w:fldChar w:fldCharType="separate"/>
          </w:r>
          <w:r>
            <w:t>5</w:t>
          </w:r>
          <w:r>
            <w:fldChar w:fldCharType="end"/>
          </w:r>
          <w:r>
            <w:rPr>
              <w:rFonts w:hint="eastAsia" w:ascii="宋体" w:hAnsi="宋体" w:eastAsia="宋体" w:cs="宋体"/>
              <w:szCs w:val="24"/>
            </w:rPr>
            <w:fldChar w:fldCharType="end"/>
          </w:r>
        </w:p>
        <w:p w14:paraId="7F8E810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_Toc29162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管理原则</w:t>
          </w:r>
          <w:r>
            <w:tab/>
          </w:r>
          <w:r>
            <w:fldChar w:fldCharType="begin"/>
          </w:r>
          <w:r>
            <w:instrText xml:space="preserve"> PAGEREF _Toc29162 \h </w:instrText>
          </w:r>
          <w:r>
            <w:fldChar w:fldCharType="separate"/>
          </w:r>
          <w:r>
            <w:t>6</w:t>
          </w:r>
          <w:r>
            <w:fldChar w:fldCharType="end"/>
          </w:r>
          <w:r>
            <w:rPr>
              <w:rFonts w:hint="eastAsia" w:ascii="宋体" w:hAnsi="宋体" w:eastAsia="宋体" w:cs="宋体"/>
              <w:szCs w:val="24"/>
            </w:rPr>
            <w:fldChar w:fldCharType="end"/>
          </w:r>
        </w:p>
        <w:p w14:paraId="69978F8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_Toc25808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事件关闭原则</w:t>
          </w:r>
          <w:r>
            <w:tab/>
          </w:r>
          <w:r>
            <w:fldChar w:fldCharType="begin"/>
          </w:r>
          <w:r>
            <w:instrText xml:space="preserve"> PAGEREF _Toc25808 \h </w:instrText>
          </w:r>
          <w:r>
            <w:fldChar w:fldCharType="separate"/>
          </w:r>
          <w:r>
            <w:t>6</w:t>
          </w:r>
          <w:r>
            <w:fldChar w:fldCharType="end"/>
          </w:r>
          <w:r>
            <w:rPr>
              <w:rFonts w:hint="eastAsia" w:ascii="宋体" w:hAnsi="宋体" w:eastAsia="宋体" w:cs="宋体"/>
              <w:szCs w:val="24"/>
            </w:rPr>
            <w:fldChar w:fldCharType="end"/>
          </w:r>
        </w:p>
        <w:p w14:paraId="7509053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_Toc22815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流程关联原则</w:t>
          </w:r>
          <w:r>
            <w:tab/>
          </w:r>
          <w:r>
            <w:fldChar w:fldCharType="begin"/>
          </w:r>
          <w:r>
            <w:instrText xml:space="preserve"> PAGEREF _Toc22815 \h </w:instrText>
          </w:r>
          <w:r>
            <w:fldChar w:fldCharType="separate"/>
          </w:r>
          <w:r>
            <w:t>6</w:t>
          </w:r>
          <w:r>
            <w:fldChar w:fldCharType="end"/>
          </w:r>
          <w:r>
            <w:rPr>
              <w:rFonts w:hint="eastAsia" w:ascii="宋体" w:hAnsi="宋体" w:eastAsia="宋体" w:cs="宋体"/>
              <w:szCs w:val="24"/>
            </w:rPr>
            <w:fldChar w:fldCharType="end"/>
          </w:r>
        </w:p>
        <w:p w14:paraId="12999E1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_Toc24215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事件管理流程</w:t>
          </w:r>
          <w:r>
            <w:tab/>
          </w:r>
          <w:r>
            <w:fldChar w:fldCharType="begin"/>
          </w:r>
          <w:r>
            <w:instrText xml:space="preserve"> PAGEREF _Toc24215 \h </w:instrText>
          </w:r>
          <w:r>
            <w:fldChar w:fldCharType="separate"/>
          </w:r>
          <w:r>
            <w:t>6</w:t>
          </w:r>
          <w:r>
            <w:fldChar w:fldCharType="end"/>
          </w:r>
          <w:r>
            <w:rPr>
              <w:rFonts w:hint="eastAsia" w:ascii="宋体" w:hAnsi="宋体" w:eastAsia="宋体" w:cs="宋体"/>
              <w:szCs w:val="24"/>
            </w:rPr>
            <w:fldChar w:fldCharType="end"/>
          </w:r>
        </w:p>
        <w:p w14:paraId="1FCFEF6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_Toc2736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流程输入与输出</w:t>
          </w:r>
          <w:r>
            <w:tab/>
          </w:r>
          <w:r>
            <w:fldChar w:fldCharType="begin"/>
          </w:r>
          <w:r>
            <w:instrText xml:space="preserve"> PAGEREF _Toc2736 \h </w:instrText>
          </w:r>
          <w:r>
            <w:fldChar w:fldCharType="separate"/>
          </w:r>
          <w:r>
            <w:t>6</w:t>
          </w:r>
          <w:r>
            <w:fldChar w:fldCharType="end"/>
          </w:r>
          <w:r>
            <w:rPr>
              <w:rFonts w:hint="eastAsia" w:ascii="宋体" w:hAnsi="宋体" w:eastAsia="宋体" w:cs="宋体"/>
              <w:szCs w:val="24"/>
            </w:rPr>
            <w:fldChar w:fldCharType="end"/>
          </w:r>
        </w:p>
        <w:p w14:paraId="2410280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_Toc26068 </w:instrText>
          </w:r>
          <w:r>
            <w:rPr>
              <w:rFonts w:hint="eastAsia" w:ascii="宋体" w:hAnsi="宋体" w:eastAsia="宋体" w:cs="宋体"/>
              <w:szCs w:val="24"/>
            </w:rPr>
            <w:fldChar w:fldCharType="separate"/>
          </w:r>
          <w:r>
            <w:rPr>
              <w:rFonts w:hint="default"/>
              <w:lang w:val="en-US" w:eastAsia="zh-CN"/>
            </w:rPr>
            <w:t xml:space="preserve">5.2. </w:t>
          </w:r>
          <w:r>
            <w:rPr>
              <w:rFonts w:hint="eastAsia"/>
              <w:lang w:val="en-US" w:eastAsia="zh-CN"/>
            </w:rPr>
            <w:t>流程活动说明</w:t>
          </w:r>
          <w:r>
            <w:tab/>
          </w:r>
          <w:r>
            <w:fldChar w:fldCharType="begin"/>
          </w:r>
          <w:r>
            <w:instrText xml:space="preserve"> PAGEREF _Toc26068 \h </w:instrText>
          </w:r>
          <w:r>
            <w:fldChar w:fldCharType="separate"/>
          </w:r>
          <w:r>
            <w:t>7</w:t>
          </w:r>
          <w:r>
            <w:fldChar w:fldCharType="end"/>
          </w:r>
          <w:r>
            <w:rPr>
              <w:rFonts w:hint="eastAsia" w:ascii="宋体" w:hAnsi="宋体" w:eastAsia="宋体" w:cs="宋体"/>
              <w:szCs w:val="24"/>
            </w:rPr>
            <w:fldChar w:fldCharType="end"/>
          </w:r>
        </w:p>
        <w:p w14:paraId="76BBB23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_Toc14158 </w:instrText>
          </w:r>
          <w:r>
            <w:rPr>
              <w:rFonts w:hint="eastAsia" w:ascii="宋体" w:hAnsi="宋体" w:eastAsia="宋体" w:cs="宋体"/>
              <w:szCs w:val="24"/>
            </w:rPr>
            <w:fldChar w:fldCharType="separate"/>
          </w:r>
          <w:r>
            <w:rPr>
              <w:rFonts w:hint="default"/>
              <w:lang w:val="en-US" w:eastAsia="zh-CN"/>
            </w:rPr>
            <w:t xml:space="preserve">5.3. </w:t>
          </w:r>
          <w:r>
            <w:rPr>
              <w:rFonts w:hint="eastAsia"/>
              <w:lang w:val="en-US" w:eastAsia="zh-CN"/>
            </w:rPr>
            <w:t>事件处理与升级子流程</w:t>
          </w:r>
          <w:r>
            <w:tab/>
          </w:r>
          <w:r>
            <w:fldChar w:fldCharType="begin"/>
          </w:r>
          <w:r>
            <w:instrText xml:space="preserve"> PAGEREF _Toc14158 \h </w:instrText>
          </w:r>
          <w:r>
            <w:fldChar w:fldCharType="separate"/>
          </w:r>
          <w:r>
            <w:t>7</w:t>
          </w:r>
          <w:r>
            <w:fldChar w:fldCharType="end"/>
          </w:r>
          <w:r>
            <w:rPr>
              <w:rFonts w:hint="eastAsia" w:ascii="宋体" w:hAnsi="宋体" w:eastAsia="宋体" w:cs="宋体"/>
              <w:szCs w:val="24"/>
            </w:rPr>
            <w:fldChar w:fldCharType="end"/>
          </w:r>
        </w:p>
        <w:p w14:paraId="592A992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_Toc22178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事件分类、分级与升级</w:t>
          </w:r>
          <w:r>
            <w:tab/>
          </w:r>
          <w:r>
            <w:fldChar w:fldCharType="begin"/>
          </w:r>
          <w:r>
            <w:instrText xml:space="preserve"> PAGEREF _Toc22178 \h </w:instrText>
          </w:r>
          <w:r>
            <w:fldChar w:fldCharType="separate"/>
          </w:r>
          <w:r>
            <w:t>7</w:t>
          </w:r>
          <w:r>
            <w:fldChar w:fldCharType="end"/>
          </w:r>
          <w:r>
            <w:rPr>
              <w:rFonts w:hint="eastAsia" w:ascii="宋体" w:hAnsi="宋体" w:eastAsia="宋体" w:cs="宋体"/>
              <w:szCs w:val="24"/>
            </w:rPr>
            <w:fldChar w:fldCharType="end"/>
          </w:r>
        </w:p>
        <w:p w14:paraId="3E351E2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_Toc18446 </w:instrText>
          </w:r>
          <w:r>
            <w:rPr>
              <w:rFonts w:hint="eastAsia" w:ascii="宋体" w:hAnsi="宋体" w:eastAsia="宋体" w:cs="宋体"/>
              <w:szCs w:val="24"/>
            </w:rPr>
            <w:fldChar w:fldCharType="separate"/>
          </w:r>
          <w:r>
            <w:rPr>
              <w:rFonts w:hint="default"/>
              <w:lang w:val="en-US" w:eastAsia="zh-CN"/>
            </w:rPr>
            <w:t xml:space="preserve">6.1. </w:t>
          </w:r>
          <w:r>
            <w:rPr>
              <w:rFonts w:hint="eastAsia"/>
              <w:lang w:val="en-US" w:eastAsia="zh-CN"/>
            </w:rPr>
            <w:t>事件等级划分</w:t>
          </w:r>
          <w:r>
            <w:tab/>
          </w:r>
          <w:r>
            <w:fldChar w:fldCharType="begin"/>
          </w:r>
          <w:r>
            <w:instrText xml:space="preserve"> PAGEREF _Toc18446 \h </w:instrText>
          </w:r>
          <w:r>
            <w:fldChar w:fldCharType="separate"/>
          </w:r>
          <w:r>
            <w:t>7</w:t>
          </w:r>
          <w:r>
            <w:fldChar w:fldCharType="end"/>
          </w:r>
          <w:r>
            <w:rPr>
              <w:rFonts w:hint="eastAsia" w:ascii="宋体" w:hAnsi="宋体" w:eastAsia="宋体" w:cs="宋体"/>
              <w:szCs w:val="24"/>
            </w:rPr>
            <w:fldChar w:fldCharType="end"/>
          </w:r>
        </w:p>
        <w:p w14:paraId="1F0B313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_Toc9605 </w:instrText>
          </w:r>
          <w:r>
            <w:rPr>
              <w:rFonts w:hint="eastAsia" w:ascii="宋体" w:hAnsi="宋体" w:eastAsia="宋体" w:cs="宋体"/>
              <w:szCs w:val="24"/>
            </w:rPr>
            <w:fldChar w:fldCharType="separate"/>
          </w:r>
          <w:r>
            <w:rPr>
              <w:rFonts w:hint="default"/>
              <w:lang w:val="en-US" w:eastAsia="zh-CN"/>
            </w:rPr>
            <w:t xml:space="preserve">6.2. </w:t>
          </w:r>
          <w:r>
            <w:rPr>
              <w:rFonts w:hint="eastAsia"/>
              <w:lang w:val="en-US" w:eastAsia="zh-CN"/>
            </w:rPr>
            <w:t>事件升级机制</w:t>
          </w:r>
          <w:r>
            <w:tab/>
          </w:r>
          <w:r>
            <w:fldChar w:fldCharType="begin"/>
          </w:r>
          <w:r>
            <w:instrText xml:space="preserve"> PAGEREF _Toc9605 \h </w:instrText>
          </w:r>
          <w:r>
            <w:fldChar w:fldCharType="separate"/>
          </w:r>
          <w:r>
            <w:t>9</w:t>
          </w:r>
          <w:r>
            <w:fldChar w:fldCharType="end"/>
          </w:r>
          <w:r>
            <w:rPr>
              <w:rFonts w:hint="eastAsia" w:ascii="宋体" w:hAnsi="宋体" w:eastAsia="宋体" w:cs="宋体"/>
              <w:szCs w:val="24"/>
            </w:rPr>
            <w:fldChar w:fldCharType="end"/>
          </w:r>
        </w:p>
        <w:p w14:paraId="3025E0D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_Toc22560 </w:instrText>
          </w:r>
          <w:r>
            <w:rPr>
              <w:rFonts w:hint="eastAsia" w:ascii="宋体" w:hAnsi="宋体" w:eastAsia="宋体" w:cs="宋体"/>
              <w:szCs w:val="24"/>
            </w:rPr>
            <w:fldChar w:fldCharType="separate"/>
          </w:r>
          <w:r>
            <w:rPr>
              <w:rFonts w:hint="default"/>
              <w:lang w:val="en-US" w:eastAsia="zh-CN"/>
            </w:rPr>
            <w:t xml:space="preserve">6.3. </w:t>
          </w:r>
          <w:r>
            <w:rPr>
              <w:rFonts w:hint="eastAsia"/>
              <w:lang w:val="en-US" w:eastAsia="zh-CN"/>
            </w:rPr>
            <w:t>常见事件类别</w:t>
          </w:r>
          <w:r>
            <w:tab/>
          </w:r>
          <w:r>
            <w:fldChar w:fldCharType="begin"/>
          </w:r>
          <w:r>
            <w:instrText xml:space="preserve"> PAGEREF _Toc22560 \h </w:instrText>
          </w:r>
          <w:r>
            <w:fldChar w:fldCharType="separate"/>
          </w:r>
          <w:r>
            <w:t>9</w:t>
          </w:r>
          <w:r>
            <w:fldChar w:fldCharType="end"/>
          </w:r>
          <w:r>
            <w:rPr>
              <w:rFonts w:hint="eastAsia" w:ascii="宋体" w:hAnsi="宋体" w:eastAsia="宋体" w:cs="宋体"/>
              <w:szCs w:val="24"/>
            </w:rPr>
            <w:fldChar w:fldCharType="end"/>
          </w:r>
        </w:p>
        <w:p w14:paraId="5D3648C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_Toc32443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与其他流程的关系</w:t>
          </w:r>
          <w:r>
            <w:tab/>
          </w:r>
          <w:r>
            <w:fldChar w:fldCharType="begin"/>
          </w:r>
          <w:r>
            <w:instrText xml:space="preserve"> PAGEREF _Toc32443 \h </w:instrText>
          </w:r>
          <w:r>
            <w:fldChar w:fldCharType="separate"/>
          </w:r>
          <w:r>
            <w:t>9</w:t>
          </w:r>
          <w:r>
            <w:fldChar w:fldCharType="end"/>
          </w:r>
          <w:r>
            <w:rPr>
              <w:rFonts w:hint="eastAsia" w:ascii="宋体" w:hAnsi="宋体" w:eastAsia="宋体" w:cs="宋体"/>
              <w:szCs w:val="24"/>
            </w:rPr>
            <w:fldChar w:fldCharType="end"/>
          </w:r>
        </w:p>
        <w:p w14:paraId="79EF6E6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_Toc12630 </w:instrText>
          </w:r>
          <w:r>
            <w:rPr>
              <w:rFonts w:hint="eastAsia" w:ascii="宋体" w:hAnsi="宋体" w:eastAsia="宋体" w:cs="宋体"/>
              <w:szCs w:val="24"/>
            </w:rPr>
            <w:fldChar w:fldCharType="separate"/>
          </w:r>
          <w:r>
            <w:rPr>
              <w:rFonts w:hint="default"/>
            </w:rPr>
            <w:t>7.1. 与问题管理的关系</w:t>
          </w:r>
          <w:r>
            <w:tab/>
          </w:r>
          <w:r>
            <w:fldChar w:fldCharType="begin"/>
          </w:r>
          <w:r>
            <w:instrText xml:space="preserve"> PAGEREF _Toc12630 \h </w:instrText>
          </w:r>
          <w:r>
            <w:fldChar w:fldCharType="separate"/>
          </w:r>
          <w:r>
            <w:t>10</w:t>
          </w:r>
          <w:r>
            <w:fldChar w:fldCharType="end"/>
          </w:r>
          <w:r>
            <w:rPr>
              <w:rFonts w:hint="eastAsia" w:ascii="宋体" w:hAnsi="宋体" w:eastAsia="宋体" w:cs="宋体"/>
              <w:szCs w:val="24"/>
            </w:rPr>
            <w:fldChar w:fldCharType="end"/>
          </w:r>
        </w:p>
        <w:p w14:paraId="6FBDC6E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_Toc16694 </w:instrText>
          </w:r>
          <w:r>
            <w:rPr>
              <w:rFonts w:hint="eastAsia" w:ascii="宋体" w:hAnsi="宋体" w:eastAsia="宋体" w:cs="宋体"/>
              <w:szCs w:val="24"/>
            </w:rPr>
            <w:fldChar w:fldCharType="separate"/>
          </w:r>
          <w:r>
            <w:rPr>
              <w:rFonts w:hint="default"/>
            </w:rPr>
            <w:t>7.2. 与变更管理的关系</w:t>
          </w:r>
          <w:r>
            <w:tab/>
          </w:r>
          <w:r>
            <w:fldChar w:fldCharType="begin"/>
          </w:r>
          <w:r>
            <w:instrText xml:space="preserve"> PAGEREF _Toc16694 \h </w:instrText>
          </w:r>
          <w:r>
            <w:fldChar w:fldCharType="separate"/>
          </w:r>
          <w:r>
            <w:t>10</w:t>
          </w:r>
          <w:r>
            <w:fldChar w:fldCharType="end"/>
          </w:r>
          <w:r>
            <w:rPr>
              <w:rFonts w:hint="eastAsia" w:ascii="宋体" w:hAnsi="宋体" w:eastAsia="宋体" w:cs="宋体"/>
              <w:szCs w:val="24"/>
            </w:rPr>
            <w:fldChar w:fldCharType="end"/>
          </w:r>
        </w:p>
        <w:p w14:paraId="305EF51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_Toc2479 </w:instrText>
          </w:r>
          <w:r>
            <w:rPr>
              <w:rFonts w:hint="eastAsia" w:ascii="宋体" w:hAnsi="宋体" w:eastAsia="宋体" w:cs="宋体"/>
              <w:szCs w:val="24"/>
            </w:rPr>
            <w:fldChar w:fldCharType="separate"/>
          </w:r>
          <w:r>
            <w:rPr>
              <w:rFonts w:hint="default"/>
            </w:rPr>
            <w:t>7.3. 与配置管理的关系</w:t>
          </w:r>
          <w:r>
            <w:tab/>
          </w:r>
          <w:r>
            <w:fldChar w:fldCharType="begin"/>
          </w:r>
          <w:r>
            <w:instrText xml:space="preserve"> PAGEREF _Toc2479 \h </w:instrText>
          </w:r>
          <w:r>
            <w:fldChar w:fldCharType="separate"/>
          </w:r>
          <w:r>
            <w:t>10</w:t>
          </w:r>
          <w:r>
            <w:fldChar w:fldCharType="end"/>
          </w:r>
          <w:r>
            <w:rPr>
              <w:rFonts w:hint="eastAsia" w:ascii="宋体" w:hAnsi="宋体" w:eastAsia="宋体" w:cs="宋体"/>
              <w:szCs w:val="24"/>
            </w:rPr>
            <w:fldChar w:fldCharType="end"/>
          </w:r>
        </w:p>
        <w:p w14:paraId="6727082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_Toc14950 </w:instrText>
          </w:r>
          <w:r>
            <w:rPr>
              <w:rFonts w:hint="eastAsia" w:ascii="宋体" w:hAnsi="宋体" w:eastAsia="宋体" w:cs="宋体"/>
              <w:szCs w:val="24"/>
            </w:rPr>
            <w:fldChar w:fldCharType="separate"/>
          </w:r>
          <w:r>
            <w:rPr>
              <w:rFonts w:hint="default"/>
              <w:lang w:val="en-US" w:eastAsia="zh-CN"/>
            </w:rPr>
            <w:t xml:space="preserve">8. </w:t>
          </w:r>
          <w:r>
            <w:rPr>
              <w:rFonts w:hint="eastAsia"/>
              <w:lang w:val="en-US" w:eastAsia="zh-CN"/>
            </w:rPr>
            <w:t>考核指标</w:t>
          </w:r>
          <w:r>
            <w:tab/>
          </w:r>
          <w:r>
            <w:fldChar w:fldCharType="begin"/>
          </w:r>
          <w:r>
            <w:instrText xml:space="preserve"> PAGEREF _Toc14950 \h </w:instrText>
          </w:r>
          <w:r>
            <w:fldChar w:fldCharType="separate"/>
          </w:r>
          <w:r>
            <w:t>10</w:t>
          </w:r>
          <w:r>
            <w:fldChar w:fldCharType="end"/>
          </w:r>
          <w:r>
            <w:rPr>
              <w:rFonts w:hint="eastAsia" w:ascii="宋体" w:hAnsi="宋体" w:eastAsia="宋体" w:cs="宋体"/>
              <w:szCs w:val="24"/>
            </w:rPr>
            <w:fldChar w:fldCharType="end"/>
          </w:r>
        </w:p>
        <w:p w14:paraId="7B861B6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_Toc29324 </w:instrText>
          </w:r>
          <w:r>
            <w:rPr>
              <w:rFonts w:hint="eastAsia" w:ascii="宋体" w:hAnsi="宋体" w:eastAsia="宋体" w:cs="宋体"/>
              <w:szCs w:val="24"/>
            </w:rPr>
            <w:fldChar w:fldCharType="separate"/>
          </w:r>
          <w:r>
            <w:rPr>
              <w:rFonts w:hint="default"/>
              <w:lang w:val="en-US" w:eastAsia="zh-CN"/>
            </w:rPr>
            <w:t xml:space="preserve">9. </w:t>
          </w:r>
          <w:r>
            <w:rPr>
              <w:rFonts w:hint="eastAsia"/>
              <w:lang w:val="en-US" w:eastAsia="zh-CN"/>
            </w:rPr>
            <w:t>附则</w:t>
          </w:r>
          <w:r>
            <w:tab/>
          </w:r>
          <w:r>
            <w:fldChar w:fldCharType="begin"/>
          </w:r>
          <w:r>
            <w:instrText xml:space="preserve"> PAGEREF _Toc29324 \h </w:instrText>
          </w:r>
          <w:r>
            <w:fldChar w:fldCharType="separate"/>
          </w:r>
          <w:r>
            <w:t>10</w:t>
          </w:r>
          <w:r>
            <w:fldChar w:fldCharType="end"/>
          </w:r>
          <w:r>
            <w:rPr>
              <w:rFonts w:hint="eastAsia" w:ascii="宋体" w:hAnsi="宋体" w:eastAsia="宋体" w:cs="宋体"/>
              <w:szCs w:val="24"/>
            </w:rPr>
            <w:fldChar w:fldCharType="end"/>
          </w:r>
        </w:p>
        <w:p w14:paraId="338A92D8">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6A0004AF">
      <w:pPr>
        <w:pStyle w:val="28"/>
        <w:bidi w:val="0"/>
        <w:rPr>
          <w:rFonts w:hint="eastAsia"/>
          <w:lang w:val="en-US" w:eastAsia="zh-CN"/>
        </w:rPr>
      </w:pPr>
      <w:bookmarkStart w:id="2" w:name="_Toc25312"/>
      <w:r>
        <w:rPr>
          <w:rFonts w:hint="eastAsia"/>
          <w:lang w:val="en-US" w:eastAsia="zh-CN"/>
        </w:rPr>
        <w:t>总则</w:t>
      </w:r>
      <w:bookmarkEnd w:id="2"/>
    </w:p>
    <w:p w14:paraId="19FFA8EB">
      <w:pPr>
        <w:pStyle w:val="30"/>
        <w:bidi w:val="0"/>
        <w:rPr>
          <w:rFonts w:hint="eastAsia"/>
          <w:lang w:val="en-US" w:eastAsia="zh-CN"/>
        </w:rPr>
      </w:pPr>
      <w:bookmarkStart w:id="3" w:name="_Toc1852"/>
      <w:r>
        <w:rPr>
          <w:rFonts w:hint="eastAsia"/>
          <w:lang w:val="en-US" w:eastAsia="zh-CN"/>
        </w:rPr>
        <w:t>目的</w:t>
      </w:r>
      <w:bookmarkEnd w:id="3"/>
    </w:p>
    <w:p w14:paraId="19D0B15C">
      <w:pPr>
        <w:pStyle w:val="29"/>
        <w:bidi w:val="0"/>
        <w:rPr>
          <w:rFonts w:hint="eastAsia"/>
          <w:lang w:val="en-US" w:eastAsia="zh-CN"/>
        </w:rPr>
      </w:pPr>
      <w:r>
        <w:rPr>
          <w:rFonts w:hint="eastAsia"/>
          <w:lang w:val="en-US" w:eastAsia="zh-CN"/>
        </w:rPr>
        <w:t>为规范公司软件运维服务事件的管理，建立快速响应与高效解决机制，以最小化事件对客户业务的影响，保障服务的连续性与稳定性，提升客户满意度，并为问题管理、知识管理等流程提供有效输入，特制定本制度。</w:t>
      </w:r>
    </w:p>
    <w:p w14:paraId="0D7D07A3">
      <w:pPr>
        <w:pStyle w:val="30"/>
        <w:bidi w:val="0"/>
        <w:rPr>
          <w:rFonts w:hint="eastAsia"/>
          <w:lang w:val="en-US" w:eastAsia="zh-CN"/>
        </w:rPr>
      </w:pPr>
      <w:bookmarkStart w:id="4" w:name="_Toc4924"/>
      <w:r>
        <w:rPr>
          <w:rFonts w:hint="eastAsia"/>
          <w:lang w:val="en-US" w:eastAsia="zh-CN"/>
        </w:rPr>
        <w:t>适用范围</w:t>
      </w:r>
      <w:bookmarkEnd w:id="4"/>
    </w:p>
    <w:p w14:paraId="0F8097F5">
      <w:pPr>
        <w:pStyle w:val="29"/>
        <w:bidi w:val="0"/>
        <w:rPr>
          <w:rFonts w:hint="eastAsia"/>
          <w:lang w:val="en-US" w:eastAsia="zh-CN"/>
        </w:rPr>
      </w:pPr>
      <w:r>
        <w:rPr>
          <w:rFonts w:hint="eastAsia"/>
          <w:lang w:val="en-US" w:eastAsia="zh-CN"/>
        </w:rPr>
        <w:t>本制度适用于公司为客户提供软件运维服务过程中，所有通过服务台、监控系统或其他渠道接收到的服务事件，包括但不限于系统故障、服务请求、信息咨询等。</w:t>
      </w:r>
    </w:p>
    <w:p w14:paraId="58C08792">
      <w:pPr>
        <w:pStyle w:val="28"/>
        <w:bidi w:val="0"/>
        <w:rPr>
          <w:rFonts w:hint="eastAsia"/>
          <w:lang w:val="en-US" w:eastAsia="zh-CN"/>
        </w:rPr>
      </w:pPr>
      <w:bookmarkStart w:id="5" w:name="_Toc2098"/>
      <w:r>
        <w:rPr>
          <w:rFonts w:hint="eastAsia"/>
          <w:lang w:val="en-US" w:eastAsia="zh-CN"/>
        </w:rPr>
        <w:t>术语与定义</w:t>
      </w:r>
      <w:bookmarkEnd w:id="5"/>
    </w:p>
    <w:p w14:paraId="56B17DDD">
      <w:pPr>
        <w:pStyle w:val="29"/>
        <w:bidi w:val="0"/>
        <w:rPr>
          <w:rFonts w:hint="eastAsia"/>
          <w:lang w:val="en-US" w:eastAsia="zh-CN"/>
        </w:rPr>
      </w:pPr>
      <w:r>
        <w:rPr>
          <w:rFonts w:hint="eastAsia"/>
          <w:lang w:val="en-US" w:eastAsia="zh-CN"/>
        </w:rPr>
        <w:t>事件：在服务合同范围内，任何导致或可能导致客户软件系统服务中断、服务质量下降或影响用户正常使用的非计划性情形，包括故障申告、服务请求、咨询等。</w:t>
      </w:r>
    </w:p>
    <w:p w14:paraId="6EC7F0BB">
      <w:pPr>
        <w:pStyle w:val="29"/>
        <w:bidi w:val="0"/>
        <w:rPr>
          <w:rFonts w:hint="eastAsia"/>
          <w:lang w:val="en-US" w:eastAsia="zh-CN"/>
        </w:rPr>
      </w:pPr>
      <w:r>
        <w:rPr>
          <w:rFonts w:hint="eastAsia"/>
          <w:lang w:val="en-US" w:eastAsia="zh-CN"/>
        </w:rPr>
        <w:t>事件管理：通过一系列标准化活动，对事件进行记录、分类、优先级排序、诊断、升级、解决、关闭和回顾，旨在尽快恢复服务，减少对业务的干扰。</w:t>
      </w:r>
    </w:p>
    <w:p w14:paraId="30305B07">
      <w:pPr>
        <w:pStyle w:val="29"/>
        <w:bidi w:val="0"/>
        <w:rPr>
          <w:rFonts w:hint="eastAsia"/>
          <w:lang w:val="en-US" w:eastAsia="zh-CN"/>
        </w:rPr>
      </w:pPr>
      <w:r>
        <w:rPr>
          <w:rFonts w:hint="eastAsia"/>
          <w:lang w:val="en-US" w:eastAsia="zh-CN"/>
        </w:rPr>
        <w:t>服务请求：客户提出的标准、低风险、预先定义的请求，如信息查询、账户重置、软件安装（标准版）等。</w:t>
      </w:r>
    </w:p>
    <w:p w14:paraId="33BC15AA">
      <w:pPr>
        <w:pStyle w:val="29"/>
        <w:bidi w:val="0"/>
        <w:rPr>
          <w:rFonts w:hint="eastAsia"/>
          <w:lang w:val="en-US" w:eastAsia="zh-CN"/>
        </w:rPr>
      </w:pPr>
      <w:r>
        <w:rPr>
          <w:rFonts w:hint="eastAsia"/>
          <w:lang w:val="en-US" w:eastAsia="zh-CN"/>
        </w:rPr>
        <w:t>事件升级：当事件在规定时限内无法解决或需要更高级别资源介入时，将事件移交至更高权限人员或团队的过程。</w:t>
      </w:r>
    </w:p>
    <w:p w14:paraId="5848C0F1">
      <w:pPr>
        <w:pStyle w:val="29"/>
        <w:bidi w:val="0"/>
        <w:rPr>
          <w:rFonts w:hint="eastAsia"/>
          <w:lang w:val="en-US" w:eastAsia="zh-CN"/>
        </w:rPr>
      </w:pPr>
      <w:r>
        <w:rPr>
          <w:rFonts w:hint="eastAsia"/>
          <w:lang w:val="en-US" w:eastAsia="zh-CN"/>
        </w:rPr>
        <w:t>重复事件：在相同或相似环境下，由同一根本原因引发的、具有相同症状的多次事件。</w:t>
      </w:r>
    </w:p>
    <w:p w14:paraId="365952E7">
      <w:pPr>
        <w:pStyle w:val="28"/>
        <w:bidi w:val="0"/>
        <w:rPr>
          <w:rFonts w:hint="eastAsia"/>
          <w:lang w:val="en-US" w:eastAsia="zh-CN"/>
        </w:rPr>
      </w:pPr>
      <w:bookmarkStart w:id="6" w:name="_Toc4575"/>
      <w:r>
        <w:rPr>
          <w:rFonts w:hint="eastAsia"/>
          <w:lang w:val="en-US" w:eastAsia="zh-CN"/>
        </w:rPr>
        <w:t>角色与职责</w:t>
      </w:r>
      <w:bookmarkEnd w:id="6"/>
    </w:p>
    <w:p w14:paraId="0CA54EA4">
      <w:pPr>
        <w:pStyle w:val="30"/>
        <w:bidi w:val="0"/>
        <w:rPr>
          <w:rFonts w:hint="eastAsia"/>
          <w:lang w:val="en-US" w:eastAsia="zh-CN"/>
        </w:rPr>
      </w:pPr>
      <w:bookmarkStart w:id="7" w:name="_Toc24799"/>
      <w:r>
        <w:rPr>
          <w:rFonts w:hint="eastAsia"/>
          <w:lang w:val="en-US" w:eastAsia="zh-CN"/>
        </w:rPr>
        <w:t>事件经理</w:t>
      </w:r>
      <w:bookmarkEnd w:id="7"/>
    </w:p>
    <w:p w14:paraId="4BCBDCAE">
      <w:pPr>
        <w:pStyle w:val="29"/>
        <w:bidi w:val="0"/>
        <w:rPr>
          <w:rFonts w:hint="eastAsia"/>
          <w:lang w:val="en-US" w:eastAsia="zh-CN"/>
        </w:rPr>
      </w:pPr>
      <w:r>
        <w:rPr>
          <w:rFonts w:hint="eastAsia"/>
          <w:lang w:val="en-US" w:eastAsia="zh-CN"/>
        </w:rPr>
        <w:t>由数智运营部经理担任，负责：</w:t>
      </w:r>
    </w:p>
    <w:p w14:paraId="648DD082">
      <w:pPr>
        <w:pStyle w:val="29"/>
        <w:bidi w:val="0"/>
        <w:rPr>
          <w:rFonts w:hint="eastAsia"/>
          <w:lang w:val="en-US" w:eastAsia="zh-CN"/>
        </w:rPr>
      </w:pPr>
      <w:r>
        <w:rPr>
          <w:rFonts w:hint="eastAsia"/>
          <w:lang w:val="en-US" w:eastAsia="zh-CN"/>
        </w:rPr>
        <w:t>监督整体事件管理流程的效率与效果，确保客户满意度。</w:t>
      </w:r>
    </w:p>
    <w:p w14:paraId="32C3E9F1">
      <w:pPr>
        <w:pStyle w:val="29"/>
        <w:bidi w:val="0"/>
        <w:rPr>
          <w:rFonts w:hint="eastAsia"/>
          <w:lang w:val="en-US" w:eastAsia="zh-CN"/>
        </w:rPr>
      </w:pPr>
      <w:r>
        <w:rPr>
          <w:rFonts w:hint="eastAsia"/>
          <w:lang w:val="en-US" w:eastAsia="zh-CN"/>
        </w:rPr>
        <w:t>审批重大事件的应急与处理方案，协调跨部门资源。</w:t>
      </w:r>
    </w:p>
    <w:p w14:paraId="0964B41A">
      <w:pPr>
        <w:pStyle w:val="29"/>
        <w:bidi w:val="0"/>
        <w:rPr>
          <w:rFonts w:hint="eastAsia"/>
          <w:lang w:val="en-US" w:eastAsia="zh-CN"/>
        </w:rPr>
      </w:pPr>
      <w:r>
        <w:rPr>
          <w:rFonts w:hint="eastAsia"/>
          <w:lang w:val="en-US" w:eastAsia="zh-CN"/>
        </w:rPr>
        <w:t>监控事件处理进度，对即将超时或重大事件进行强制升级与协调。</w:t>
      </w:r>
    </w:p>
    <w:p w14:paraId="12C83A41">
      <w:pPr>
        <w:pStyle w:val="29"/>
        <w:bidi w:val="0"/>
        <w:rPr>
          <w:rFonts w:hint="eastAsia"/>
          <w:lang w:val="en-US" w:eastAsia="zh-CN"/>
        </w:rPr>
      </w:pPr>
      <w:r>
        <w:rPr>
          <w:rFonts w:hint="eastAsia"/>
          <w:lang w:val="en-US" w:eastAsia="zh-CN"/>
        </w:rPr>
        <w:t>定期分析事件数据，识别趋势，为服务改进提供决策依据。</w:t>
      </w:r>
    </w:p>
    <w:p w14:paraId="35C3C788">
      <w:pPr>
        <w:pStyle w:val="29"/>
        <w:bidi w:val="0"/>
        <w:rPr>
          <w:rFonts w:hint="eastAsia"/>
          <w:lang w:val="en-US" w:eastAsia="zh-CN"/>
        </w:rPr>
      </w:pPr>
      <w:r>
        <w:rPr>
          <w:rFonts w:hint="eastAsia"/>
          <w:lang w:val="en-US" w:eastAsia="zh-CN"/>
        </w:rPr>
        <w:t>确保事件管理与问题、变更等流程的有效衔接。</w:t>
      </w:r>
    </w:p>
    <w:p w14:paraId="779FE8F1">
      <w:pPr>
        <w:pStyle w:val="30"/>
        <w:bidi w:val="0"/>
        <w:rPr>
          <w:rFonts w:hint="eastAsia"/>
          <w:lang w:val="en-US" w:eastAsia="zh-CN"/>
        </w:rPr>
      </w:pPr>
      <w:bookmarkStart w:id="8" w:name="_Toc32442"/>
      <w:r>
        <w:rPr>
          <w:rFonts w:hint="eastAsia"/>
          <w:lang w:val="en-US" w:eastAsia="zh-CN"/>
        </w:rPr>
        <w:t>服务台专员</w:t>
      </w:r>
      <w:bookmarkEnd w:id="8"/>
    </w:p>
    <w:p w14:paraId="42C703D9">
      <w:pPr>
        <w:pStyle w:val="29"/>
        <w:bidi w:val="0"/>
        <w:rPr>
          <w:rFonts w:hint="eastAsia"/>
          <w:lang w:val="en-US" w:eastAsia="zh-CN"/>
        </w:rPr>
      </w:pPr>
      <w:r>
        <w:rPr>
          <w:rFonts w:hint="eastAsia"/>
          <w:lang w:val="en-US" w:eastAsia="zh-CN"/>
        </w:rPr>
        <w:t>作为事件的统一接入点，负责：</w:t>
      </w:r>
    </w:p>
    <w:p w14:paraId="188C097C">
      <w:pPr>
        <w:pStyle w:val="29"/>
        <w:bidi w:val="0"/>
        <w:rPr>
          <w:rFonts w:hint="eastAsia"/>
          <w:lang w:val="en-US" w:eastAsia="zh-CN"/>
        </w:rPr>
      </w:pPr>
      <w:r>
        <w:rPr>
          <w:rFonts w:hint="eastAsia"/>
          <w:lang w:val="en-US" w:eastAsia="zh-CN"/>
        </w:rPr>
        <w:t>接听客户电话、接收邮件/工单，事件记录率达到100%。</w:t>
      </w:r>
    </w:p>
    <w:p w14:paraId="63E40385">
      <w:pPr>
        <w:pStyle w:val="29"/>
        <w:bidi w:val="0"/>
        <w:rPr>
          <w:rFonts w:hint="eastAsia"/>
          <w:lang w:val="en-US" w:eastAsia="zh-CN"/>
        </w:rPr>
      </w:pPr>
      <w:r>
        <w:rPr>
          <w:rFonts w:hint="eastAsia"/>
          <w:lang w:val="en-US" w:eastAsia="zh-CN"/>
        </w:rPr>
        <w:t>对事件进行初步分类、优先级判定并分派。</w:t>
      </w:r>
    </w:p>
    <w:p w14:paraId="02564340">
      <w:pPr>
        <w:pStyle w:val="29"/>
        <w:bidi w:val="0"/>
        <w:rPr>
          <w:rFonts w:hint="eastAsia"/>
          <w:lang w:val="en-US" w:eastAsia="zh-CN"/>
        </w:rPr>
      </w:pPr>
      <w:r>
        <w:rPr>
          <w:rFonts w:hint="eastAsia"/>
          <w:lang w:val="en-US" w:eastAsia="zh-CN"/>
        </w:rPr>
        <w:t>处理简单的咨询类或可通过知识库直接解决的服务请求。</w:t>
      </w:r>
    </w:p>
    <w:p w14:paraId="72F86DCE">
      <w:pPr>
        <w:pStyle w:val="29"/>
        <w:bidi w:val="0"/>
        <w:rPr>
          <w:rFonts w:hint="eastAsia"/>
          <w:lang w:val="en-US" w:eastAsia="zh-CN"/>
        </w:rPr>
      </w:pPr>
      <w:r>
        <w:rPr>
          <w:rFonts w:hint="eastAsia"/>
          <w:lang w:val="en-US" w:eastAsia="zh-CN"/>
        </w:rPr>
        <w:t>跟踪事件状态，及时向客户沟通进展。</w:t>
      </w:r>
    </w:p>
    <w:p w14:paraId="1B94BE9D">
      <w:pPr>
        <w:pStyle w:val="29"/>
        <w:bidi w:val="0"/>
        <w:rPr>
          <w:rFonts w:hint="eastAsia"/>
          <w:lang w:val="en-US" w:eastAsia="zh-CN"/>
        </w:rPr>
      </w:pPr>
      <w:r>
        <w:rPr>
          <w:rFonts w:hint="eastAsia"/>
          <w:lang w:val="en-US" w:eastAsia="zh-CN"/>
        </w:rPr>
        <w:t>在事件解决后回访客户，确认关闭并获得满意度反馈。</w:t>
      </w:r>
    </w:p>
    <w:p w14:paraId="03D0C654">
      <w:pPr>
        <w:pStyle w:val="30"/>
        <w:bidi w:val="0"/>
        <w:rPr>
          <w:rFonts w:hint="eastAsia"/>
          <w:lang w:val="en-US" w:eastAsia="zh-CN"/>
        </w:rPr>
      </w:pPr>
      <w:bookmarkStart w:id="9" w:name="_Toc22472"/>
      <w:r>
        <w:rPr>
          <w:rFonts w:hint="eastAsia"/>
          <w:lang w:val="en-US" w:eastAsia="zh-CN"/>
        </w:rPr>
        <w:t>运维工程师</w:t>
      </w:r>
      <w:bookmarkEnd w:id="9"/>
    </w:p>
    <w:p w14:paraId="60818E97">
      <w:pPr>
        <w:pStyle w:val="29"/>
        <w:bidi w:val="0"/>
        <w:rPr>
          <w:rFonts w:hint="eastAsia"/>
          <w:lang w:val="en-US" w:eastAsia="zh-CN"/>
        </w:rPr>
      </w:pPr>
      <w:r>
        <w:rPr>
          <w:rFonts w:hint="eastAsia"/>
          <w:lang w:val="en-US" w:eastAsia="zh-CN"/>
        </w:rPr>
        <w:t>负责：</w:t>
      </w:r>
    </w:p>
    <w:p w14:paraId="285B3A5A">
      <w:pPr>
        <w:pStyle w:val="29"/>
        <w:bidi w:val="0"/>
        <w:rPr>
          <w:rFonts w:hint="eastAsia"/>
          <w:lang w:val="en-US" w:eastAsia="zh-CN"/>
        </w:rPr>
      </w:pPr>
      <w:r>
        <w:rPr>
          <w:rFonts w:hint="eastAsia"/>
          <w:lang w:val="en-US" w:eastAsia="zh-CN"/>
        </w:rPr>
        <w:t>接收并处理服务台分派的专业技术事件。</w:t>
      </w:r>
    </w:p>
    <w:p w14:paraId="50647550">
      <w:pPr>
        <w:pStyle w:val="29"/>
        <w:bidi w:val="0"/>
        <w:rPr>
          <w:rFonts w:hint="eastAsia"/>
          <w:lang w:val="en-US" w:eastAsia="zh-CN"/>
        </w:rPr>
      </w:pPr>
      <w:r>
        <w:rPr>
          <w:rFonts w:hint="eastAsia"/>
          <w:lang w:val="en-US" w:eastAsia="zh-CN"/>
        </w:rPr>
        <w:t>在规定时限内诊断并解决事件，详细记录解决方案与过程。</w:t>
      </w:r>
    </w:p>
    <w:p w14:paraId="797F1968">
      <w:pPr>
        <w:pStyle w:val="29"/>
        <w:bidi w:val="0"/>
        <w:rPr>
          <w:rFonts w:hint="eastAsia"/>
          <w:lang w:val="en-US" w:eastAsia="zh-CN"/>
        </w:rPr>
      </w:pPr>
      <w:r>
        <w:rPr>
          <w:rFonts w:hint="eastAsia"/>
          <w:lang w:val="en-US" w:eastAsia="zh-CN"/>
        </w:rPr>
        <w:t>对于无法独立解决的事件，按流程及时升级至运维项目经理或更高技术专家。</w:t>
      </w:r>
    </w:p>
    <w:p w14:paraId="466DDA89">
      <w:pPr>
        <w:pStyle w:val="29"/>
        <w:bidi w:val="0"/>
        <w:rPr>
          <w:rFonts w:hint="eastAsia"/>
          <w:lang w:val="en-US" w:eastAsia="zh-CN"/>
        </w:rPr>
      </w:pPr>
      <w:r>
        <w:rPr>
          <w:rFonts w:hint="eastAsia"/>
          <w:lang w:val="en-US" w:eastAsia="zh-CN"/>
        </w:rPr>
        <w:t>将典型解决方案整理提交至知识库。</w:t>
      </w:r>
    </w:p>
    <w:p w14:paraId="7DC6DA69">
      <w:pPr>
        <w:pStyle w:val="30"/>
        <w:bidi w:val="0"/>
        <w:rPr>
          <w:rFonts w:hint="eastAsia"/>
          <w:lang w:val="en-US" w:eastAsia="zh-CN"/>
        </w:rPr>
      </w:pPr>
      <w:bookmarkStart w:id="10" w:name="_Toc31538"/>
      <w:r>
        <w:rPr>
          <w:rFonts w:hint="eastAsia"/>
          <w:lang w:val="en-US" w:eastAsia="zh-CN"/>
        </w:rPr>
        <w:t>运维项目经理</w:t>
      </w:r>
      <w:bookmarkEnd w:id="10"/>
    </w:p>
    <w:p w14:paraId="1E53D039">
      <w:pPr>
        <w:pStyle w:val="29"/>
        <w:bidi w:val="0"/>
        <w:rPr>
          <w:rFonts w:hint="eastAsia"/>
          <w:lang w:val="en-US" w:eastAsia="zh-CN"/>
        </w:rPr>
      </w:pPr>
      <w:r>
        <w:rPr>
          <w:rFonts w:hint="eastAsia"/>
          <w:lang w:val="en-US" w:eastAsia="zh-CN"/>
        </w:rPr>
        <w:t>负责：</w:t>
      </w:r>
    </w:p>
    <w:p w14:paraId="642C0D31">
      <w:pPr>
        <w:pStyle w:val="29"/>
        <w:bidi w:val="0"/>
        <w:rPr>
          <w:rFonts w:hint="eastAsia"/>
          <w:lang w:val="en-US" w:eastAsia="zh-CN"/>
        </w:rPr>
      </w:pPr>
      <w:r>
        <w:rPr>
          <w:rFonts w:hint="eastAsia"/>
          <w:lang w:val="en-US" w:eastAsia="zh-CN"/>
        </w:rPr>
        <w:t>处理运维工程师升级的复杂事件，组织技术分析与攻关。</w:t>
      </w:r>
    </w:p>
    <w:p w14:paraId="351834F8">
      <w:pPr>
        <w:pStyle w:val="29"/>
        <w:bidi w:val="0"/>
        <w:rPr>
          <w:rFonts w:hint="eastAsia"/>
          <w:lang w:val="en-US" w:eastAsia="zh-CN"/>
        </w:rPr>
      </w:pPr>
      <w:r>
        <w:rPr>
          <w:rFonts w:hint="eastAsia"/>
          <w:lang w:val="en-US" w:eastAsia="zh-CN"/>
        </w:rPr>
        <w:t>作为与客户沟通的技术接口人，对重大事件进行解释与方案汇报。</w:t>
      </w:r>
    </w:p>
    <w:p w14:paraId="5E8FA9BE">
      <w:pPr>
        <w:pStyle w:val="29"/>
        <w:bidi w:val="0"/>
        <w:rPr>
          <w:rFonts w:hint="eastAsia"/>
          <w:lang w:val="en-US" w:eastAsia="zh-CN"/>
        </w:rPr>
      </w:pPr>
      <w:r>
        <w:rPr>
          <w:rFonts w:hint="eastAsia"/>
          <w:lang w:val="en-US" w:eastAsia="zh-CN"/>
        </w:rPr>
        <w:t>协调研究总院、质量管理部等内部资源，推动事件解决。</w:t>
      </w:r>
    </w:p>
    <w:p w14:paraId="4231C070">
      <w:pPr>
        <w:pStyle w:val="29"/>
        <w:bidi w:val="0"/>
        <w:rPr>
          <w:rFonts w:hint="eastAsia"/>
          <w:lang w:val="en-US" w:eastAsia="zh-CN"/>
        </w:rPr>
      </w:pPr>
      <w:r>
        <w:rPr>
          <w:rFonts w:hint="eastAsia"/>
          <w:lang w:val="en-US" w:eastAsia="zh-CN"/>
        </w:rPr>
        <w:t>判断事件是否需要转化为问题或触发变更流程，并负责跟进。</w:t>
      </w:r>
    </w:p>
    <w:p w14:paraId="7F128B8D">
      <w:pPr>
        <w:pStyle w:val="28"/>
        <w:bidi w:val="0"/>
        <w:rPr>
          <w:rFonts w:hint="eastAsia"/>
          <w:lang w:val="en-US" w:eastAsia="zh-CN"/>
        </w:rPr>
      </w:pPr>
      <w:bookmarkStart w:id="11" w:name="_Toc29162"/>
      <w:r>
        <w:rPr>
          <w:rFonts w:hint="eastAsia"/>
          <w:lang w:val="en-US" w:eastAsia="zh-CN"/>
        </w:rPr>
        <w:t>管理原则</w:t>
      </w:r>
      <w:bookmarkEnd w:id="11"/>
    </w:p>
    <w:p w14:paraId="28D41BAF">
      <w:pPr>
        <w:pStyle w:val="30"/>
        <w:bidi w:val="0"/>
        <w:rPr>
          <w:rFonts w:hint="eastAsia"/>
          <w:lang w:val="en-US" w:eastAsia="zh-CN"/>
        </w:rPr>
      </w:pPr>
      <w:bookmarkStart w:id="12" w:name="_Toc25808"/>
      <w:r>
        <w:rPr>
          <w:rFonts w:hint="eastAsia"/>
          <w:lang w:val="en-US" w:eastAsia="zh-CN"/>
        </w:rPr>
        <w:t>事件关闭原则</w:t>
      </w:r>
      <w:bookmarkEnd w:id="12"/>
    </w:p>
    <w:p w14:paraId="6CA56273">
      <w:pPr>
        <w:pStyle w:val="29"/>
        <w:bidi w:val="0"/>
        <w:rPr>
          <w:rFonts w:hint="eastAsia"/>
          <w:lang w:val="en-US" w:eastAsia="zh-CN"/>
        </w:rPr>
      </w:pPr>
      <w:r>
        <w:rPr>
          <w:rFonts w:hint="eastAsia"/>
          <w:lang w:val="en-US" w:eastAsia="zh-CN"/>
        </w:rPr>
        <w:t>所有由客户申告的事件，关闭前必须获得客户确认。</w:t>
      </w:r>
    </w:p>
    <w:p w14:paraId="54C61EE6">
      <w:pPr>
        <w:pStyle w:val="29"/>
        <w:bidi w:val="0"/>
        <w:rPr>
          <w:rFonts w:hint="eastAsia"/>
          <w:lang w:val="en-US" w:eastAsia="zh-CN"/>
        </w:rPr>
      </w:pPr>
      <w:r>
        <w:rPr>
          <w:rFonts w:hint="eastAsia"/>
          <w:lang w:val="en-US" w:eastAsia="zh-CN"/>
        </w:rPr>
        <w:t>已关闭的事件单原则上不允许重开。若同一事件复发，应创建新事件单并关联历史记录。</w:t>
      </w:r>
    </w:p>
    <w:p w14:paraId="764B9B12">
      <w:pPr>
        <w:pStyle w:val="29"/>
        <w:bidi w:val="0"/>
        <w:rPr>
          <w:rFonts w:hint="eastAsia"/>
          <w:lang w:val="en-US" w:eastAsia="zh-CN"/>
        </w:rPr>
      </w:pPr>
      <w:r>
        <w:rPr>
          <w:rFonts w:hint="eastAsia"/>
          <w:lang w:val="en-US" w:eastAsia="zh-CN"/>
        </w:rPr>
        <w:t>若采取临时措施恢复服务，事件状态应为“处理中”；待根本性解决方案实施并经客户确认后，方可“关闭”。</w:t>
      </w:r>
    </w:p>
    <w:p w14:paraId="5041A144">
      <w:pPr>
        <w:pStyle w:val="30"/>
        <w:bidi w:val="0"/>
        <w:rPr>
          <w:rFonts w:hint="eastAsia"/>
          <w:lang w:val="en-US" w:eastAsia="zh-CN"/>
        </w:rPr>
      </w:pPr>
      <w:bookmarkStart w:id="13" w:name="_Toc22815"/>
      <w:r>
        <w:rPr>
          <w:rFonts w:hint="eastAsia"/>
          <w:lang w:val="en-US" w:eastAsia="zh-CN"/>
        </w:rPr>
        <w:t>流程关联原则</w:t>
      </w:r>
      <w:bookmarkEnd w:id="13"/>
    </w:p>
    <w:p w14:paraId="5A8B3D62">
      <w:pPr>
        <w:pStyle w:val="29"/>
        <w:bidi w:val="0"/>
        <w:rPr>
          <w:rFonts w:hint="eastAsia"/>
          <w:lang w:val="en-US" w:eastAsia="zh-CN"/>
        </w:rPr>
      </w:pPr>
      <w:r>
        <w:rPr>
          <w:rFonts w:hint="eastAsia"/>
          <w:lang w:val="en-US" w:eastAsia="zh-CN"/>
        </w:rPr>
        <w:t>与问题管理：事件管理旨在快速恢复服务，问题管理旨在查找并根除根本原因。频繁发生或重大事件应触发问题管理流程。</w:t>
      </w:r>
    </w:p>
    <w:p w14:paraId="3D3F820E">
      <w:pPr>
        <w:pStyle w:val="29"/>
        <w:bidi w:val="0"/>
        <w:rPr>
          <w:rFonts w:hint="eastAsia"/>
          <w:lang w:val="en-US" w:eastAsia="zh-CN"/>
        </w:rPr>
      </w:pPr>
      <w:r>
        <w:rPr>
          <w:rFonts w:hint="eastAsia"/>
          <w:lang w:val="en-US" w:eastAsia="zh-CN"/>
        </w:rPr>
        <w:t>与变更管理：为解决事件而需对生产环境进行的任何修改，必须遵循变更管理流程。</w:t>
      </w:r>
    </w:p>
    <w:p w14:paraId="2E3B93F1">
      <w:pPr>
        <w:pStyle w:val="29"/>
        <w:bidi w:val="0"/>
        <w:rPr>
          <w:rFonts w:hint="eastAsia"/>
          <w:lang w:val="en-US" w:eastAsia="zh-CN"/>
        </w:rPr>
      </w:pPr>
      <w:r>
        <w:rPr>
          <w:rFonts w:hint="eastAsia"/>
          <w:lang w:val="en-US" w:eastAsia="zh-CN"/>
        </w:rPr>
        <w:t>与配置管理：事件诊断与解决需依赖准确的配置信息；事件解决过程中如发现配置信息不准确，应触发配置项更新。</w:t>
      </w:r>
    </w:p>
    <w:p w14:paraId="45AB14D8">
      <w:pPr>
        <w:pStyle w:val="28"/>
        <w:bidi w:val="0"/>
        <w:rPr>
          <w:rFonts w:hint="eastAsia"/>
          <w:lang w:val="en-US" w:eastAsia="zh-CN"/>
        </w:rPr>
      </w:pPr>
      <w:bookmarkStart w:id="14" w:name="_Toc24215"/>
      <w:r>
        <w:rPr>
          <w:rFonts w:hint="eastAsia"/>
          <w:lang w:val="en-US" w:eastAsia="zh-CN"/>
        </w:rPr>
        <w:t>事件管理流程</w:t>
      </w:r>
      <w:bookmarkEnd w:id="14"/>
    </w:p>
    <w:p w14:paraId="581B3752">
      <w:pPr>
        <w:pStyle w:val="30"/>
        <w:bidi w:val="0"/>
        <w:rPr>
          <w:rFonts w:hint="eastAsia"/>
          <w:lang w:val="en-US" w:eastAsia="zh-CN"/>
        </w:rPr>
      </w:pPr>
      <w:bookmarkStart w:id="15" w:name="_Toc2736"/>
      <w:r>
        <w:rPr>
          <w:rFonts w:hint="eastAsia"/>
          <w:lang w:val="en-US" w:eastAsia="zh-CN"/>
        </w:rPr>
        <w:t>流程输入与输出</w:t>
      </w:r>
      <w:bookmarkEnd w:id="15"/>
    </w:p>
    <w:p w14:paraId="471D4DA0">
      <w:pPr>
        <w:pStyle w:val="29"/>
        <w:bidi w:val="0"/>
        <w:rPr>
          <w:rFonts w:hint="eastAsia"/>
          <w:lang w:val="en-US" w:eastAsia="zh-CN"/>
        </w:rPr>
      </w:pPr>
      <w:r>
        <w:rPr>
          <w:rFonts w:hint="eastAsia"/>
          <w:lang w:val="en-US" w:eastAsia="zh-CN"/>
        </w:rPr>
        <w:t>输入：客户故障申告、服务请求、监控告警、服务报告反馈等。</w:t>
      </w:r>
    </w:p>
    <w:p w14:paraId="1940B86B">
      <w:pPr>
        <w:pStyle w:val="29"/>
        <w:bidi w:val="0"/>
        <w:rPr>
          <w:rFonts w:hint="eastAsia"/>
          <w:lang w:val="en-US" w:eastAsia="zh-CN"/>
        </w:rPr>
      </w:pPr>
      <w:r>
        <w:rPr>
          <w:rFonts w:hint="eastAsia"/>
          <w:lang w:val="en-US" w:eastAsia="zh-CN"/>
        </w:rPr>
        <w:t>输出：已解决的事件记录、关联的问题记录或变更请求、知识库条目、事件分析报告。</w:t>
      </w:r>
    </w:p>
    <w:p w14:paraId="153764B6">
      <w:pPr>
        <w:pStyle w:val="30"/>
        <w:bidi w:val="0"/>
        <w:rPr>
          <w:rFonts w:hint="eastAsia"/>
          <w:lang w:val="en-US" w:eastAsia="zh-CN"/>
        </w:rPr>
      </w:pPr>
      <w:bookmarkStart w:id="16" w:name="_Toc26068"/>
      <w:r>
        <w:rPr>
          <w:rFonts w:hint="eastAsia"/>
          <w:lang w:val="en-US" w:eastAsia="zh-CN"/>
        </w:rPr>
        <w:t>流程活动说明</w:t>
      </w:r>
      <w:bookmarkEnd w:id="16"/>
    </w:p>
    <w:p w14:paraId="6674226D">
      <w:pPr>
        <w:pStyle w:val="29"/>
        <w:bidi w:val="0"/>
        <w:rPr>
          <w:rFonts w:hint="eastAsia"/>
          <w:lang w:val="en-US" w:eastAsia="zh-CN"/>
        </w:rPr>
      </w:pPr>
      <w:r>
        <w:rPr>
          <w:rFonts w:hint="eastAsia"/>
          <w:lang w:val="en-US" w:eastAsia="zh-CN"/>
        </w:rPr>
        <w:t>事件受理与记录：服务台专员统一受理，在运维管理平台创建事件工单，记录详细信息。</w:t>
      </w:r>
    </w:p>
    <w:p w14:paraId="1B5B36CC">
      <w:pPr>
        <w:pStyle w:val="29"/>
        <w:bidi w:val="0"/>
        <w:rPr>
          <w:rFonts w:hint="eastAsia"/>
          <w:lang w:val="en-US" w:eastAsia="zh-CN"/>
        </w:rPr>
      </w:pPr>
      <w:r>
        <w:rPr>
          <w:rFonts w:hint="eastAsia"/>
          <w:lang w:val="en-US" w:eastAsia="zh-CN"/>
        </w:rPr>
        <w:t>分类与初步支持：根据事件类型和影响进行分级分类。服务台尝试利用知识库提供即时解决或标准答复。</w:t>
      </w:r>
    </w:p>
    <w:p w14:paraId="580914F0">
      <w:pPr>
        <w:pStyle w:val="29"/>
        <w:bidi w:val="0"/>
        <w:rPr>
          <w:rFonts w:hint="eastAsia"/>
          <w:lang w:val="en-US" w:eastAsia="zh-CN"/>
        </w:rPr>
      </w:pPr>
      <w:r>
        <w:rPr>
          <w:rFonts w:hint="eastAsia"/>
          <w:lang w:val="en-US" w:eastAsia="zh-CN"/>
        </w:rPr>
        <w:t>调查与诊断：分派至运维工程师进行技术调查与诊断。</w:t>
      </w:r>
    </w:p>
    <w:p w14:paraId="7D5CFFEA">
      <w:pPr>
        <w:pStyle w:val="29"/>
        <w:bidi w:val="0"/>
        <w:rPr>
          <w:rFonts w:hint="eastAsia"/>
          <w:lang w:val="en-US" w:eastAsia="zh-CN"/>
        </w:rPr>
      </w:pPr>
      <w:r>
        <w:rPr>
          <w:rFonts w:hint="eastAsia"/>
          <w:lang w:val="en-US" w:eastAsia="zh-CN"/>
        </w:rPr>
        <w:t>解决与恢复：实施解决方案（临时或永久性），恢复服务。</w:t>
      </w:r>
    </w:p>
    <w:p w14:paraId="71A0FD6B">
      <w:pPr>
        <w:pStyle w:val="29"/>
        <w:bidi w:val="0"/>
        <w:rPr>
          <w:rFonts w:hint="eastAsia"/>
          <w:lang w:val="en-US" w:eastAsia="zh-CN"/>
        </w:rPr>
      </w:pPr>
      <w:r>
        <w:rPr>
          <w:rFonts w:hint="eastAsia"/>
          <w:lang w:val="en-US" w:eastAsia="zh-CN"/>
        </w:rPr>
        <w:t>升级：若不能在约定时限内解决或超出职责范围，则按升级机制上报。</w:t>
      </w:r>
    </w:p>
    <w:p w14:paraId="3D11501B">
      <w:pPr>
        <w:pStyle w:val="29"/>
        <w:bidi w:val="0"/>
        <w:rPr>
          <w:rFonts w:hint="eastAsia"/>
          <w:lang w:val="en-US" w:eastAsia="zh-CN"/>
        </w:rPr>
      </w:pPr>
      <w:r>
        <w:rPr>
          <w:rFonts w:hint="eastAsia"/>
          <w:lang w:val="en-US" w:eastAsia="zh-CN"/>
        </w:rPr>
        <w:t>关闭与回访：解决方案经客户验证确认后，关闭事件工单，并进行客户满意度回访。</w:t>
      </w:r>
    </w:p>
    <w:p w14:paraId="31D4C976">
      <w:pPr>
        <w:pStyle w:val="29"/>
        <w:bidi w:val="0"/>
        <w:rPr>
          <w:rFonts w:hint="eastAsia"/>
          <w:lang w:val="en-US" w:eastAsia="zh-CN"/>
        </w:rPr>
      </w:pPr>
      <w:r>
        <w:rPr>
          <w:rFonts w:hint="eastAsia"/>
          <w:lang w:val="en-US" w:eastAsia="zh-CN"/>
        </w:rPr>
        <w:t>总结与转化：对重大或重复事件进行简要分析，判断是否需转为问题记录。</w:t>
      </w:r>
    </w:p>
    <w:p w14:paraId="5DB27B7A">
      <w:pPr>
        <w:pStyle w:val="30"/>
        <w:bidi w:val="0"/>
        <w:rPr>
          <w:rFonts w:hint="eastAsia"/>
          <w:lang w:val="en-US" w:eastAsia="zh-CN"/>
        </w:rPr>
      </w:pPr>
      <w:bookmarkStart w:id="17" w:name="_Toc14158"/>
      <w:r>
        <w:rPr>
          <w:rFonts w:hint="eastAsia"/>
          <w:lang w:val="en-US" w:eastAsia="zh-CN"/>
        </w:rPr>
        <w:t>事件处理与升级子流程</w:t>
      </w:r>
      <w:bookmarkEnd w:id="17"/>
    </w:p>
    <w:p w14:paraId="7AAE3781">
      <w:pPr>
        <w:pStyle w:val="29"/>
        <w:bidi w:val="0"/>
        <w:rPr>
          <w:rFonts w:hint="eastAsia"/>
          <w:lang w:val="en-US" w:eastAsia="zh-CN"/>
        </w:rPr>
      </w:pPr>
      <w:r>
        <w:rPr>
          <w:rFonts w:hint="eastAsia"/>
          <w:lang w:val="en-US" w:eastAsia="zh-CN"/>
        </w:rPr>
        <w:t>一线处理流程：服务台专员/运维工程师处理常规事件，查询知识库，寻求快速解决方案。</w:t>
      </w:r>
    </w:p>
    <w:p w14:paraId="1CB5278A">
      <w:pPr>
        <w:pStyle w:val="29"/>
        <w:bidi w:val="0"/>
        <w:rPr>
          <w:rFonts w:hint="eastAsia"/>
          <w:lang w:val="en-US" w:eastAsia="zh-CN"/>
        </w:rPr>
      </w:pPr>
      <w:r>
        <w:rPr>
          <w:rFonts w:hint="eastAsia"/>
          <w:lang w:val="en-US" w:eastAsia="zh-CN"/>
        </w:rPr>
        <w:t>二线/专家升级流程：运维工程师无法解决时，升级至运维项目经理。项目经理评估后，可组建虚拟专家小组或协调研究总院资源进行支持。</w:t>
      </w:r>
    </w:p>
    <w:p w14:paraId="6FC3F18D">
      <w:pPr>
        <w:pStyle w:val="29"/>
        <w:bidi w:val="0"/>
        <w:rPr>
          <w:rFonts w:hint="eastAsia"/>
          <w:lang w:val="en-US" w:eastAsia="zh-CN"/>
        </w:rPr>
      </w:pPr>
      <w:r>
        <w:rPr>
          <w:rFonts w:hint="eastAsia"/>
          <w:lang w:val="en-US" w:eastAsia="zh-CN"/>
        </w:rPr>
        <w:t>管理升级流程：涉及重大业务影响、需高层协调资源或可能引发客户投诉时，事件经理需介入并上报公司管理层。</w:t>
      </w:r>
    </w:p>
    <w:p w14:paraId="6E7EAAE4">
      <w:pPr>
        <w:pStyle w:val="28"/>
        <w:bidi w:val="0"/>
        <w:rPr>
          <w:rFonts w:hint="eastAsia"/>
          <w:lang w:val="en-US" w:eastAsia="zh-CN"/>
        </w:rPr>
      </w:pPr>
      <w:bookmarkStart w:id="18" w:name="_Toc22178"/>
      <w:r>
        <w:rPr>
          <w:rFonts w:hint="eastAsia"/>
          <w:lang w:val="en-US" w:eastAsia="zh-CN"/>
        </w:rPr>
        <w:t>事件分类、分级与升级</w:t>
      </w:r>
      <w:bookmarkEnd w:id="18"/>
    </w:p>
    <w:p w14:paraId="72729578">
      <w:pPr>
        <w:pStyle w:val="30"/>
        <w:bidi w:val="0"/>
        <w:rPr>
          <w:rFonts w:hint="eastAsia"/>
          <w:lang w:val="en-US" w:eastAsia="zh-CN"/>
        </w:rPr>
      </w:pPr>
      <w:bookmarkStart w:id="19" w:name="_Toc18446"/>
      <w:r>
        <w:rPr>
          <w:rFonts w:hint="eastAsia"/>
          <w:lang w:val="en-US" w:eastAsia="zh-CN"/>
        </w:rPr>
        <w:t>事件等级划分</w:t>
      </w:r>
      <w:bookmarkEnd w:id="19"/>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454"/>
        <w:gridCol w:w="950"/>
        <w:gridCol w:w="2885"/>
        <w:gridCol w:w="2278"/>
        <w:gridCol w:w="1931"/>
      </w:tblGrid>
      <w:tr w14:paraId="2EB68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0" w:type="auto"/>
            <w:shd w:val="clear" w:color="auto" w:fill="auto"/>
            <w:tcMar>
              <w:top w:w="120" w:type="dxa"/>
              <w:left w:w="0" w:type="dxa"/>
              <w:bottom w:w="120" w:type="dxa"/>
              <w:right w:w="192" w:type="dxa"/>
            </w:tcMar>
            <w:vAlign w:val="center"/>
          </w:tcPr>
          <w:p w14:paraId="669A7376">
            <w:pPr>
              <w:keepNext w:val="0"/>
              <w:keepLines w:val="0"/>
              <w:widowControl/>
              <w:suppressLineNumbers w:val="0"/>
              <w:spacing w:line="300" w:lineRule="atLeast"/>
              <w:jc w:val="left"/>
              <w:rPr>
                <w:rFonts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等级</w:t>
            </w:r>
          </w:p>
        </w:tc>
        <w:tc>
          <w:tcPr>
            <w:tcW w:w="0" w:type="auto"/>
            <w:shd w:val="clear" w:color="auto" w:fill="auto"/>
            <w:tcMar>
              <w:top w:w="120" w:type="dxa"/>
              <w:left w:w="192" w:type="dxa"/>
              <w:bottom w:w="120" w:type="dxa"/>
              <w:right w:w="192" w:type="dxa"/>
            </w:tcMar>
            <w:vAlign w:val="center"/>
          </w:tcPr>
          <w:p w14:paraId="46C872BE">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名称</w:t>
            </w:r>
          </w:p>
        </w:tc>
        <w:tc>
          <w:tcPr>
            <w:tcW w:w="0" w:type="auto"/>
            <w:shd w:val="clear" w:color="auto" w:fill="auto"/>
            <w:tcMar>
              <w:top w:w="120" w:type="dxa"/>
              <w:left w:w="192" w:type="dxa"/>
              <w:bottom w:w="120" w:type="dxa"/>
              <w:right w:w="192" w:type="dxa"/>
            </w:tcMar>
            <w:vAlign w:val="center"/>
          </w:tcPr>
          <w:p w14:paraId="77E132AB">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核心影响与紧迫性定义</w:t>
            </w:r>
          </w:p>
        </w:tc>
        <w:tc>
          <w:tcPr>
            <w:tcW w:w="0" w:type="auto"/>
            <w:shd w:val="clear" w:color="auto" w:fill="auto"/>
            <w:tcMar>
              <w:top w:w="120" w:type="dxa"/>
              <w:left w:w="192" w:type="dxa"/>
              <w:bottom w:w="120" w:type="dxa"/>
              <w:right w:w="192" w:type="dxa"/>
            </w:tcMar>
            <w:vAlign w:val="center"/>
          </w:tcPr>
          <w:p w14:paraId="0B03651D">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软件运维场景示例</w:t>
            </w:r>
          </w:p>
        </w:tc>
        <w:tc>
          <w:tcPr>
            <w:tcW w:w="0" w:type="auto"/>
            <w:shd w:val="clear" w:color="auto" w:fill="auto"/>
            <w:tcMar>
              <w:top w:w="120" w:type="dxa"/>
              <w:left w:w="192" w:type="dxa"/>
              <w:bottom w:w="120" w:type="dxa"/>
              <w:right w:w="192" w:type="dxa"/>
            </w:tcMar>
            <w:vAlign w:val="center"/>
          </w:tcPr>
          <w:p w14:paraId="58F8089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关键特征</w:t>
            </w:r>
          </w:p>
        </w:tc>
      </w:tr>
      <w:tr w14:paraId="24CB9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5570B800">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P0</w:t>
            </w:r>
          </w:p>
        </w:tc>
        <w:tc>
          <w:tcPr>
            <w:tcW w:w="0" w:type="auto"/>
            <w:shd w:val="clear" w:color="auto" w:fill="auto"/>
            <w:tcMar>
              <w:top w:w="120" w:type="dxa"/>
              <w:left w:w="192" w:type="dxa"/>
              <w:bottom w:w="120" w:type="dxa"/>
              <w:right w:w="192" w:type="dxa"/>
            </w:tcMar>
            <w:vAlign w:val="center"/>
          </w:tcPr>
          <w:p w14:paraId="677A0C64">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重大灾难事件</w:t>
            </w:r>
          </w:p>
        </w:tc>
        <w:tc>
          <w:tcPr>
            <w:tcW w:w="0" w:type="auto"/>
            <w:shd w:val="clear" w:color="auto" w:fill="auto"/>
            <w:tcMar>
              <w:top w:w="120" w:type="dxa"/>
              <w:left w:w="192" w:type="dxa"/>
              <w:bottom w:w="120" w:type="dxa"/>
              <w:right w:w="192" w:type="dxa"/>
            </w:tcMar>
            <w:vAlign w:val="center"/>
          </w:tcPr>
          <w:p w14:paraId="6D90BF2D">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全网性/核心业务完全中断</w:t>
            </w:r>
            <w:r>
              <w:rPr>
                <w:rFonts w:hint="default" w:ascii="Segoe UI" w:hAnsi="Segoe UI" w:eastAsia="Segoe UI" w:cs="Segoe UI"/>
                <w:i w:val="0"/>
                <w:iCs w:val="0"/>
                <w:caps w:val="0"/>
                <w:snapToGrid w:val="0"/>
                <w:color w:val="000000"/>
                <w:spacing w:val="0"/>
                <w:kern w:val="0"/>
                <w:sz w:val="18"/>
                <w:szCs w:val="18"/>
                <w:lang w:val="en-US" w:eastAsia="zh-CN"/>
              </w:rPr>
              <w:t>，造成重大经济损失或严重品牌声誉危机，需立即启动公司级应急响应。</w:t>
            </w:r>
          </w:p>
        </w:tc>
        <w:tc>
          <w:tcPr>
            <w:tcW w:w="0" w:type="auto"/>
            <w:shd w:val="clear" w:color="auto" w:fill="auto"/>
            <w:tcMar>
              <w:top w:w="120" w:type="dxa"/>
              <w:left w:w="192" w:type="dxa"/>
              <w:bottom w:w="120" w:type="dxa"/>
              <w:right w:w="192" w:type="dxa"/>
            </w:tcMar>
            <w:vAlign w:val="center"/>
          </w:tcPr>
          <w:p w14:paraId="5089320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核心生产系统全面瘫痪，所有用户无法访问。</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核心数据库损坏或丢失，导致业务停摆。</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大规模数据泄露或恶意攻击，导致服务不可用且合规风险极高。</w:t>
            </w:r>
          </w:p>
        </w:tc>
        <w:tc>
          <w:tcPr>
            <w:tcW w:w="0" w:type="auto"/>
            <w:shd w:val="clear" w:color="auto" w:fill="auto"/>
            <w:tcMar>
              <w:top w:w="120" w:type="dxa"/>
              <w:left w:w="192" w:type="dxa"/>
              <w:bottom w:w="120" w:type="dxa"/>
              <w:right w:w="0" w:type="dxa"/>
            </w:tcMar>
            <w:vAlign w:val="center"/>
          </w:tcPr>
          <w:p w14:paraId="6ADE9590">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公司级应急</w:t>
            </w:r>
            <w:r>
              <w:rPr>
                <w:rFonts w:hint="default" w:ascii="Segoe UI" w:hAnsi="Segoe UI" w:eastAsia="Segoe UI" w:cs="Segoe UI"/>
                <w:i w:val="0"/>
                <w:iCs w:val="0"/>
                <w:caps w:val="0"/>
                <w:snapToGrid w:val="0"/>
                <w:color w:val="000000"/>
                <w:spacing w:val="0"/>
                <w:kern w:val="0"/>
                <w:sz w:val="18"/>
                <w:szCs w:val="18"/>
                <w:lang w:val="en-US" w:eastAsia="zh-CN"/>
              </w:rPr>
              <w:t>；可能触发业务连续性计划（BCP）。</w:t>
            </w:r>
          </w:p>
        </w:tc>
      </w:tr>
      <w:tr w14:paraId="47196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382A55C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P1</w:t>
            </w:r>
          </w:p>
        </w:tc>
        <w:tc>
          <w:tcPr>
            <w:tcW w:w="0" w:type="auto"/>
            <w:shd w:val="clear" w:color="auto" w:fill="auto"/>
            <w:tcMar>
              <w:top w:w="120" w:type="dxa"/>
              <w:left w:w="192" w:type="dxa"/>
              <w:bottom w:w="120" w:type="dxa"/>
              <w:right w:w="192" w:type="dxa"/>
            </w:tcMar>
            <w:vAlign w:val="center"/>
          </w:tcPr>
          <w:p w14:paraId="48011BD7">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严重故障事件</w:t>
            </w:r>
          </w:p>
        </w:tc>
        <w:tc>
          <w:tcPr>
            <w:tcW w:w="0" w:type="auto"/>
            <w:shd w:val="clear" w:color="auto" w:fill="auto"/>
            <w:tcMar>
              <w:top w:w="120" w:type="dxa"/>
              <w:left w:w="192" w:type="dxa"/>
              <w:bottom w:w="120" w:type="dxa"/>
              <w:right w:w="192" w:type="dxa"/>
            </w:tcMar>
            <w:vAlign w:val="center"/>
          </w:tcPr>
          <w:p w14:paraId="7EF0DD2D">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关键业务功能严重中断</w:t>
            </w:r>
            <w:r>
              <w:rPr>
                <w:rFonts w:hint="default" w:ascii="Segoe UI" w:hAnsi="Segoe UI" w:eastAsia="Segoe UI" w:cs="Segoe UI"/>
                <w:i w:val="0"/>
                <w:iCs w:val="0"/>
                <w:caps w:val="0"/>
                <w:snapToGrid w:val="0"/>
                <w:color w:val="000000"/>
                <w:spacing w:val="0"/>
                <w:kern w:val="0"/>
                <w:sz w:val="18"/>
                <w:szCs w:val="18"/>
                <w:lang w:val="en-US" w:eastAsia="zh-CN"/>
              </w:rPr>
              <w:t>，影响大部分用户或重要业务线，造成显著经济损失，需紧急处理。</w:t>
            </w:r>
          </w:p>
        </w:tc>
        <w:tc>
          <w:tcPr>
            <w:tcW w:w="0" w:type="auto"/>
            <w:shd w:val="clear" w:color="auto" w:fill="auto"/>
            <w:tcMar>
              <w:top w:w="120" w:type="dxa"/>
              <w:left w:w="192" w:type="dxa"/>
              <w:bottom w:w="120" w:type="dxa"/>
              <w:right w:w="192" w:type="dxa"/>
            </w:tcMar>
            <w:vAlign w:val="center"/>
          </w:tcPr>
          <w:p w14:paraId="42A36D21">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核心交易/支付流程失败。</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影响全局的关键服务（如登录、认证）不可用。</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影响重要客户群体的核心功能模块故障。</w:t>
            </w:r>
          </w:p>
        </w:tc>
        <w:tc>
          <w:tcPr>
            <w:tcW w:w="0" w:type="auto"/>
            <w:shd w:val="clear" w:color="auto" w:fill="auto"/>
            <w:tcMar>
              <w:top w:w="120" w:type="dxa"/>
              <w:left w:w="192" w:type="dxa"/>
              <w:bottom w:w="120" w:type="dxa"/>
              <w:right w:w="0" w:type="dxa"/>
            </w:tcMar>
            <w:vAlign w:val="center"/>
          </w:tcPr>
          <w:p w14:paraId="709892F7">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跨部门紧急协作</w:t>
            </w:r>
            <w:r>
              <w:rPr>
                <w:rFonts w:hint="default" w:ascii="Segoe UI" w:hAnsi="Segoe UI" w:eastAsia="Segoe UI" w:cs="Segoe UI"/>
                <w:i w:val="0"/>
                <w:iCs w:val="0"/>
                <w:caps w:val="0"/>
                <w:snapToGrid w:val="0"/>
                <w:color w:val="000000"/>
                <w:spacing w:val="0"/>
                <w:kern w:val="0"/>
                <w:sz w:val="18"/>
                <w:szCs w:val="18"/>
                <w:lang w:val="en-US" w:eastAsia="zh-CN"/>
              </w:rPr>
              <w:t>；需高级别技术专家立即介入。</w:t>
            </w:r>
          </w:p>
        </w:tc>
      </w:tr>
      <w:tr w14:paraId="22156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56AEE7A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P2</w:t>
            </w:r>
          </w:p>
        </w:tc>
        <w:tc>
          <w:tcPr>
            <w:tcW w:w="0" w:type="auto"/>
            <w:shd w:val="clear" w:color="auto" w:fill="auto"/>
            <w:tcMar>
              <w:top w:w="120" w:type="dxa"/>
              <w:left w:w="192" w:type="dxa"/>
              <w:bottom w:w="120" w:type="dxa"/>
              <w:right w:w="192" w:type="dxa"/>
            </w:tcMar>
            <w:vAlign w:val="center"/>
          </w:tcPr>
          <w:p w14:paraId="250A8B14">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主要故障事件</w:t>
            </w:r>
          </w:p>
        </w:tc>
        <w:tc>
          <w:tcPr>
            <w:tcW w:w="0" w:type="auto"/>
            <w:shd w:val="clear" w:color="auto" w:fill="auto"/>
            <w:tcMar>
              <w:top w:w="120" w:type="dxa"/>
              <w:left w:w="192" w:type="dxa"/>
              <w:bottom w:w="120" w:type="dxa"/>
              <w:right w:w="192" w:type="dxa"/>
            </w:tcMar>
            <w:vAlign w:val="center"/>
          </w:tcPr>
          <w:p w14:paraId="7A541B58">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重要功能部分受损或性能严重下降</w:t>
            </w:r>
            <w:r>
              <w:rPr>
                <w:rFonts w:hint="default" w:ascii="Segoe UI" w:hAnsi="Segoe UI" w:eastAsia="Segoe UI" w:cs="Segoe UI"/>
                <w:i w:val="0"/>
                <w:iCs w:val="0"/>
                <w:caps w:val="0"/>
                <w:snapToGrid w:val="0"/>
                <w:color w:val="000000"/>
                <w:spacing w:val="0"/>
                <w:kern w:val="0"/>
                <w:sz w:val="18"/>
                <w:szCs w:val="18"/>
                <w:lang w:val="en-US" w:eastAsia="zh-CN"/>
              </w:rPr>
              <w:t>，对部分用户或业务流程造成明显影响，需高优先级处理。</w:t>
            </w:r>
          </w:p>
        </w:tc>
        <w:tc>
          <w:tcPr>
            <w:tcW w:w="0" w:type="auto"/>
            <w:shd w:val="clear" w:color="auto" w:fill="auto"/>
            <w:tcMar>
              <w:top w:w="120" w:type="dxa"/>
              <w:left w:w="192" w:type="dxa"/>
              <w:bottom w:w="120" w:type="dxa"/>
              <w:right w:w="192" w:type="dxa"/>
            </w:tcMar>
            <w:vAlign w:val="center"/>
          </w:tcPr>
          <w:p w14:paraId="6E3235BD">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非核心但重要的功能模块（如报表系统）不可用。</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系统性能严重下降（如API响应时间&gt;10秒），影响用户体验。</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批量数据处理任务失败，影响次日业务。</w:t>
            </w:r>
          </w:p>
        </w:tc>
        <w:tc>
          <w:tcPr>
            <w:tcW w:w="0" w:type="auto"/>
            <w:shd w:val="clear" w:color="auto" w:fill="auto"/>
            <w:tcMar>
              <w:top w:w="120" w:type="dxa"/>
              <w:left w:w="192" w:type="dxa"/>
              <w:bottom w:w="120" w:type="dxa"/>
              <w:right w:w="0" w:type="dxa"/>
            </w:tcMar>
            <w:vAlign w:val="center"/>
          </w:tcPr>
          <w:p w14:paraId="7335F54B">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需限时解决</w:t>
            </w:r>
            <w:r>
              <w:rPr>
                <w:rFonts w:hint="default" w:ascii="Segoe UI" w:hAnsi="Segoe UI" w:eastAsia="Segoe UI" w:cs="Segoe UI"/>
                <w:i w:val="0"/>
                <w:iCs w:val="0"/>
                <w:caps w:val="0"/>
                <w:snapToGrid w:val="0"/>
                <w:color w:val="000000"/>
                <w:spacing w:val="0"/>
                <w:kern w:val="0"/>
                <w:sz w:val="18"/>
                <w:szCs w:val="18"/>
                <w:lang w:val="en-US" w:eastAsia="zh-CN"/>
              </w:rPr>
              <w:t>；通常由二线/专项团队负责。</w:t>
            </w:r>
          </w:p>
        </w:tc>
      </w:tr>
      <w:tr w14:paraId="0A6B2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43DC151D">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P3</w:t>
            </w:r>
          </w:p>
        </w:tc>
        <w:tc>
          <w:tcPr>
            <w:tcW w:w="0" w:type="auto"/>
            <w:shd w:val="clear" w:color="auto" w:fill="auto"/>
            <w:tcMar>
              <w:top w:w="120" w:type="dxa"/>
              <w:left w:w="192" w:type="dxa"/>
              <w:bottom w:w="120" w:type="dxa"/>
              <w:right w:w="192" w:type="dxa"/>
            </w:tcMar>
            <w:vAlign w:val="center"/>
          </w:tcPr>
          <w:p w14:paraId="498DDC8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一般故障事件</w:t>
            </w:r>
          </w:p>
        </w:tc>
        <w:tc>
          <w:tcPr>
            <w:tcW w:w="0" w:type="auto"/>
            <w:shd w:val="clear" w:color="auto" w:fill="auto"/>
            <w:tcMar>
              <w:top w:w="120" w:type="dxa"/>
              <w:left w:w="192" w:type="dxa"/>
              <w:bottom w:w="120" w:type="dxa"/>
              <w:right w:w="192" w:type="dxa"/>
            </w:tcMar>
            <w:vAlign w:val="center"/>
          </w:tcPr>
          <w:p w14:paraId="0EFDD147">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非核心功能异常或轻微性能问题</w:t>
            </w:r>
            <w:r>
              <w:rPr>
                <w:rFonts w:hint="default" w:ascii="Segoe UI" w:hAnsi="Segoe UI" w:eastAsia="Segoe UI" w:cs="Segoe UI"/>
                <w:i w:val="0"/>
                <w:iCs w:val="0"/>
                <w:caps w:val="0"/>
                <w:snapToGrid w:val="0"/>
                <w:color w:val="000000"/>
                <w:spacing w:val="0"/>
                <w:kern w:val="0"/>
                <w:sz w:val="18"/>
                <w:szCs w:val="18"/>
                <w:lang w:val="en-US" w:eastAsia="zh-CN"/>
              </w:rPr>
              <w:t>，影响个别用户或辅助性操作，需在约定服务时间内解决。</w:t>
            </w:r>
          </w:p>
        </w:tc>
        <w:tc>
          <w:tcPr>
            <w:tcW w:w="0" w:type="auto"/>
            <w:shd w:val="clear" w:color="auto" w:fill="auto"/>
            <w:tcMar>
              <w:top w:w="120" w:type="dxa"/>
              <w:left w:w="192" w:type="dxa"/>
              <w:bottom w:w="120" w:type="dxa"/>
              <w:right w:w="192" w:type="dxa"/>
            </w:tcMar>
            <w:vAlign w:val="center"/>
          </w:tcPr>
          <w:p w14:paraId="6E52D4B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页面UI显示错乱、非关键字段无法保存。</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辅助性查询或导出功能异常。</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第三方集成接口偶发性失败，有降级方案。</w:t>
            </w:r>
          </w:p>
        </w:tc>
        <w:tc>
          <w:tcPr>
            <w:tcW w:w="0" w:type="auto"/>
            <w:shd w:val="clear" w:color="auto" w:fill="auto"/>
            <w:tcMar>
              <w:top w:w="120" w:type="dxa"/>
              <w:left w:w="192" w:type="dxa"/>
              <w:bottom w:w="120" w:type="dxa"/>
              <w:right w:w="0" w:type="dxa"/>
            </w:tcMar>
            <w:vAlign w:val="center"/>
          </w:tcPr>
          <w:p w14:paraId="2E64485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标准处理流程</w:t>
            </w:r>
            <w:r>
              <w:rPr>
                <w:rFonts w:hint="default" w:ascii="Segoe UI" w:hAnsi="Segoe UI" w:eastAsia="Segoe UI" w:cs="Segoe UI"/>
                <w:i w:val="0"/>
                <w:iCs w:val="0"/>
                <w:caps w:val="0"/>
                <w:snapToGrid w:val="0"/>
                <w:color w:val="000000"/>
                <w:spacing w:val="0"/>
                <w:kern w:val="0"/>
                <w:sz w:val="18"/>
                <w:szCs w:val="18"/>
                <w:lang w:val="en-US" w:eastAsia="zh-CN"/>
              </w:rPr>
              <w:t>；通常由一线工程师解决。</w:t>
            </w:r>
          </w:p>
        </w:tc>
      </w:tr>
      <w:tr w14:paraId="1C1CB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621D6D3B">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P4</w:t>
            </w:r>
          </w:p>
        </w:tc>
        <w:tc>
          <w:tcPr>
            <w:tcW w:w="0" w:type="auto"/>
            <w:shd w:val="clear" w:color="auto" w:fill="auto"/>
            <w:tcMar>
              <w:top w:w="120" w:type="dxa"/>
              <w:left w:w="192" w:type="dxa"/>
              <w:bottom w:w="120" w:type="dxa"/>
              <w:right w:w="192" w:type="dxa"/>
            </w:tcMar>
            <w:vAlign w:val="center"/>
          </w:tcPr>
          <w:p w14:paraId="33350E5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服务请求/轻微咨询</w:t>
            </w:r>
          </w:p>
        </w:tc>
        <w:tc>
          <w:tcPr>
            <w:tcW w:w="0" w:type="auto"/>
            <w:shd w:val="clear" w:color="auto" w:fill="auto"/>
            <w:tcMar>
              <w:top w:w="120" w:type="dxa"/>
              <w:left w:w="192" w:type="dxa"/>
              <w:bottom w:w="120" w:type="dxa"/>
              <w:right w:w="192" w:type="dxa"/>
            </w:tcMar>
            <w:vAlign w:val="center"/>
          </w:tcPr>
          <w:p w14:paraId="07E8AF00">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不影响系统运行的标准化请求或轻微咨询</w:t>
            </w:r>
            <w:r>
              <w:rPr>
                <w:rFonts w:hint="default" w:ascii="Segoe UI" w:hAnsi="Segoe UI" w:eastAsia="Segoe UI" w:cs="Segoe UI"/>
                <w:i w:val="0"/>
                <w:iCs w:val="0"/>
                <w:caps w:val="0"/>
                <w:snapToGrid w:val="0"/>
                <w:color w:val="000000"/>
                <w:spacing w:val="0"/>
                <w:kern w:val="0"/>
                <w:sz w:val="18"/>
                <w:szCs w:val="18"/>
                <w:lang w:val="en-US" w:eastAsia="zh-CN"/>
              </w:rPr>
              <w:t>，需按约定流程履行。</w:t>
            </w:r>
          </w:p>
        </w:tc>
        <w:tc>
          <w:tcPr>
            <w:tcW w:w="0" w:type="auto"/>
            <w:shd w:val="clear" w:color="auto" w:fill="auto"/>
            <w:tcMar>
              <w:top w:w="120" w:type="dxa"/>
              <w:left w:w="192" w:type="dxa"/>
              <w:bottom w:w="120" w:type="dxa"/>
              <w:right w:w="192" w:type="dxa"/>
            </w:tcMar>
            <w:vAlign w:val="center"/>
          </w:tcPr>
          <w:p w14:paraId="7292DF7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用户账号、权限管理类请求。</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非关键数据查询与提取。</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产品使用、操作流程咨询。</w:t>
            </w:r>
          </w:p>
        </w:tc>
        <w:tc>
          <w:tcPr>
            <w:tcW w:w="0" w:type="auto"/>
            <w:shd w:val="clear" w:color="auto" w:fill="auto"/>
            <w:tcMar>
              <w:top w:w="120" w:type="dxa"/>
              <w:left w:w="192" w:type="dxa"/>
              <w:bottom w:w="120" w:type="dxa"/>
              <w:right w:w="0" w:type="dxa"/>
            </w:tcMar>
            <w:vAlign w:val="center"/>
          </w:tcPr>
          <w:p w14:paraId="68A3FB08">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预定义流程</w:t>
            </w:r>
            <w:r>
              <w:rPr>
                <w:rFonts w:hint="default" w:ascii="Segoe UI" w:hAnsi="Segoe UI" w:eastAsia="Segoe UI" w:cs="Segoe UI"/>
                <w:i w:val="0"/>
                <w:iCs w:val="0"/>
                <w:caps w:val="0"/>
                <w:snapToGrid w:val="0"/>
                <w:color w:val="000000"/>
                <w:spacing w:val="0"/>
                <w:kern w:val="0"/>
                <w:sz w:val="18"/>
                <w:szCs w:val="18"/>
                <w:lang w:val="en-US" w:eastAsia="zh-CN"/>
              </w:rPr>
              <w:t>；可通过知识库或脚本自动化处理。</w:t>
            </w:r>
          </w:p>
        </w:tc>
      </w:tr>
      <w:tr w14:paraId="0274E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53A8758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P5</w:t>
            </w:r>
          </w:p>
        </w:tc>
        <w:tc>
          <w:tcPr>
            <w:tcW w:w="0" w:type="auto"/>
            <w:shd w:val="clear" w:color="auto" w:fill="auto"/>
            <w:tcMar>
              <w:top w:w="120" w:type="dxa"/>
              <w:left w:w="192" w:type="dxa"/>
              <w:bottom w:w="120" w:type="dxa"/>
              <w:right w:w="192" w:type="dxa"/>
            </w:tcMar>
            <w:vAlign w:val="center"/>
          </w:tcPr>
          <w:p w14:paraId="7D07908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信息性事件/新需求</w:t>
            </w:r>
          </w:p>
        </w:tc>
        <w:tc>
          <w:tcPr>
            <w:tcW w:w="0" w:type="auto"/>
            <w:shd w:val="clear" w:color="auto" w:fill="auto"/>
            <w:tcMar>
              <w:top w:w="120" w:type="dxa"/>
              <w:left w:w="192" w:type="dxa"/>
              <w:bottom w:w="120" w:type="dxa"/>
              <w:right w:w="192" w:type="dxa"/>
            </w:tcMar>
            <w:vAlign w:val="center"/>
          </w:tcPr>
          <w:p w14:paraId="64DDBB2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不构成故障的报告、通知或新功能需求</w:t>
            </w:r>
            <w:r>
              <w:rPr>
                <w:rFonts w:hint="default" w:ascii="Segoe UI" w:hAnsi="Segoe UI" w:eastAsia="Segoe UI" w:cs="Segoe UI"/>
                <w:i w:val="0"/>
                <w:iCs w:val="0"/>
                <w:caps w:val="0"/>
                <w:snapToGrid w:val="0"/>
                <w:color w:val="000000"/>
                <w:spacing w:val="0"/>
                <w:kern w:val="0"/>
                <w:sz w:val="18"/>
                <w:szCs w:val="18"/>
                <w:lang w:val="en-US" w:eastAsia="zh-CN"/>
              </w:rPr>
              <w:t>，用于信息记录或转入需求管理流程。</w:t>
            </w:r>
          </w:p>
        </w:tc>
        <w:tc>
          <w:tcPr>
            <w:tcW w:w="0" w:type="auto"/>
            <w:shd w:val="clear" w:color="auto" w:fill="auto"/>
            <w:tcMar>
              <w:top w:w="120" w:type="dxa"/>
              <w:left w:w="192" w:type="dxa"/>
              <w:bottom w:w="120" w:type="dxa"/>
              <w:right w:w="192" w:type="dxa"/>
            </w:tcMar>
            <w:vAlign w:val="center"/>
          </w:tcPr>
          <w:p w14:paraId="1AA8B8C4">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监控系统发出的预警性提示（资源使用率趋高）。</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用户提出的用户体验优化建议。</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经确认为非Bug的功能增强需求。</w:t>
            </w:r>
          </w:p>
        </w:tc>
        <w:tc>
          <w:tcPr>
            <w:tcW w:w="0" w:type="auto"/>
            <w:shd w:val="clear" w:color="auto" w:fill="auto"/>
            <w:vAlign w:val="center"/>
          </w:tcPr>
          <w:p w14:paraId="7A836F18">
            <w:pPr>
              <w:rPr>
                <w:rFonts w:hint="eastAsia" w:ascii="Segoe UI" w:hAnsi="Segoe UI" w:eastAsia="Segoe UI" w:cs="Segoe UI"/>
                <w:i w:val="0"/>
                <w:iCs w:val="0"/>
                <w:caps w:val="0"/>
                <w:color w:val="0F1115"/>
                <w:spacing w:val="0"/>
                <w:sz w:val="19"/>
                <w:szCs w:val="19"/>
              </w:rPr>
            </w:pPr>
            <w:r>
              <w:rPr>
                <w:rStyle w:val="23"/>
                <w:rFonts w:ascii="Segoe UI" w:hAnsi="Segoe UI" w:eastAsia="Segoe UI" w:cs="Segoe UI"/>
                <w:b/>
                <w:bCs/>
                <w:i w:val="0"/>
                <w:iCs w:val="0"/>
                <w:caps w:val="0"/>
                <w:color w:val="0F1115"/>
                <w:spacing w:val="0"/>
                <w:sz w:val="18"/>
                <w:szCs w:val="18"/>
                <w:shd w:val="clear" w:color="auto" w:fill="FFFFFF"/>
              </w:rPr>
              <w:t>记录与转办</w:t>
            </w:r>
            <w:r>
              <w:rPr>
                <w:rFonts w:hint="default" w:ascii="Segoe UI" w:hAnsi="Segoe UI" w:eastAsia="Segoe UI" w:cs="Segoe UI"/>
                <w:i w:val="0"/>
                <w:iCs w:val="0"/>
                <w:caps w:val="0"/>
                <w:color w:val="0F1115"/>
                <w:spacing w:val="0"/>
                <w:sz w:val="18"/>
                <w:szCs w:val="18"/>
                <w:shd w:val="clear" w:color="auto" w:fill="FFFFFF"/>
              </w:rPr>
              <w:t>；不占用紧急事件处理资源。</w:t>
            </w:r>
          </w:p>
        </w:tc>
      </w:tr>
    </w:tbl>
    <w:p w14:paraId="47862AE5">
      <w:pPr>
        <w:pStyle w:val="30"/>
        <w:bidi w:val="0"/>
        <w:rPr>
          <w:rFonts w:hint="eastAsia"/>
          <w:lang w:val="en-US" w:eastAsia="zh-CN"/>
        </w:rPr>
      </w:pPr>
      <w:bookmarkStart w:id="20" w:name="_Toc9605"/>
      <w:r>
        <w:rPr>
          <w:rFonts w:hint="eastAsia"/>
          <w:lang w:val="en-US" w:eastAsia="zh-CN"/>
        </w:rPr>
        <w:t>事件升级机制</w:t>
      </w:r>
      <w:bookmarkEnd w:id="20"/>
    </w:p>
    <w:p w14:paraId="4C9EE221">
      <w:pPr>
        <w:pStyle w:val="29"/>
        <w:bidi w:val="0"/>
        <w:rPr>
          <w:rFonts w:hint="eastAsia"/>
          <w:lang w:val="en-US" w:eastAsia="zh-CN"/>
        </w:rPr>
      </w:pPr>
      <w:r>
        <w:rPr>
          <w:rFonts w:hint="eastAsia"/>
          <w:lang w:val="en-US" w:eastAsia="zh-CN"/>
        </w:rPr>
        <w:t>升级机制与事件等级强关联，确保问题按需逐级或越级上报。</w:t>
      </w:r>
    </w:p>
    <w:p w14:paraId="7B77E7F3">
      <w:pPr>
        <w:pStyle w:val="29"/>
        <w:bidi w:val="0"/>
        <w:rPr>
          <w:rFonts w:hint="eastAsia"/>
          <w:lang w:val="en-US" w:eastAsia="zh-CN"/>
        </w:rPr>
      </w:pPr>
      <w:r>
        <w:rPr>
          <w:rFonts w:hint="eastAsia"/>
          <w:lang w:val="en-US" w:eastAsia="zh-CN"/>
        </w:rPr>
        <w:t>时限升级：任何等级事件在处理时限达到约定阈值的50%、80%、100% 时，系统自动向当前处理人、其直属上级及事件经理发出预警。</w:t>
      </w:r>
    </w:p>
    <w:p w14:paraId="1F1772C8">
      <w:pPr>
        <w:pStyle w:val="29"/>
        <w:bidi w:val="0"/>
        <w:rPr>
          <w:rFonts w:hint="eastAsia"/>
          <w:lang w:val="en-US" w:eastAsia="zh-CN"/>
        </w:rPr>
      </w:pPr>
      <w:r>
        <w:rPr>
          <w:rFonts w:hint="eastAsia"/>
          <w:lang w:val="en-US" w:eastAsia="zh-CN"/>
        </w:rPr>
        <w:t>技术升级：</w:t>
      </w:r>
    </w:p>
    <w:p w14:paraId="6C5CBE0C">
      <w:pPr>
        <w:pStyle w:val="29"/>
        <w:bidi w:val="0"/>
        <w:rPr>
          <w:rFonts w:hint="eastAsia"/>
          <w:lang w:val="en-US" w:eastAsia="zh-CN"/>
        </w:rPr>
      </w:pPr>
      <w:r>
        <w:rPr>
          <w:rFonts w:hint="eastAsia"/>
          <w:lang w:val="en-US" w:eastAsia="zh-CN"/>
        </w:rPr>
        <w:t>P3/P4事件：一线工程师无法解决时，升级至二线技术支持或运维项目经理。</w:t>
      </w:r>
    </w:p>
    <w:p w14:paraId="17589034">
      <w:pPr>
        <w:pStyle w:val="29"/>
        <w:bidi w:val="0"/>
        <w:rPr>
          <w:rFonts w:hint="eastAsia"/>
          <w:lang w:val="en-US" w:eastAsia="zh-CN"/>
        </w:rPr>
      </w:pPr>
      <w:r>
        <w:rPr>
          <w:rFonts w:hint="eastAsia"/>
          <w:lang w:val="en-US" w:eastAsia="zh-CN"/>
        </w:rPr>
        <w:t>P1/P2事件：自动要求运维项目经理及研究总院对口技术专家同步介入。</w:t>
      </w:r>
    </w:p>
    <w:p w14:paraId="17399AFF">
      <w:pPr>
        <w:pStyle w:val="29"/>
        <w:bidi w:val="0"/>
        <w:rPr>
          <w:rFonts w:hint="eastAsia"/>
          <w:lang w:val="en-US" w:eastAsia="zh-CN"/>
        </w:rPr>
      </w:pPr>
      <w:r>
        <w:rPr>
          <w:rFonts w:hint="eastAsia"/>
          <w:lang w:val="en-US" w:eastAsia="zh-CN"/>
        </w:rPr>
        <w:t>P0事件：立即建立包含事件经理、运维项目经理、研究总院技术负责人及公司管理层的应急指挥群，并启动战时沟通机制。</w:t>
      </w:r>
    </w:p>
    <w:p w14:paraId="2A266261">
      <w:pPr>
        <w:pStyle w:val="29"/>
        <w:bidi w:val="0"/>
        <w:rPr>
          <w:rFonts w:hint="eastAsia"/>
          <w:lang w:val="en-US" w:eastAsia="zh-CN"/>
        </w:rPr>
      </w:pPr>
      <w:r>
        <w:rPr>
          <w:rFonts w:hint="eastAsia"/>
          <w:lang w:val="en-US" w:eastAsia="zh-CN"/>
        </w:rPr>
        <w:t>管理升级：</w:t>
      </w:r>
    </w:p>
    <w:p w14:paraId="5B13A9DB">
      <w:pPr>
        <w:pStyle w:val="29"/>
        <w:bidi w:val="0"/>
        <w:rPr>
          <w:rFonts w:hint="eastAsia"/>
          <w:lang w:val="en-US" w:eastAsia="zh-CN"/>
        </w:rPr>
      </w:pPr>
      <w:r>
        <w:rPr>
          <w:rFonts w:hint="eastAsia"/>
          <w:lang w:val="en-US" w:eastAsia="zh-CN"/>
        </w:rPr>
        <w:t>所有P0/P1事件必须立即电话通知事件经理与分管副总经理。</w:t>
      </w:r>
    </w:p>
    <w:p w14:paraId="6F9E318D">
      <w:pPr>
        <w:pStyle w:val="29"/>
        <w:bidi w:val="0"/>
        <w:rPr>
          <w:rFonts w:hint="eastAsia"/>
          <w:lang w:val="en-US" w:eastAsia="zh-CN"/>
        </w:rPr>
      </w:pPr>
      <w:r>
        <w:rPr>
          <w:rFonts w:hint="eastAsia"/>
          <w:lang w:val="en-US" w:eastAsia="zh-CN"/>
        </w:rPr>
        <w:t>事件预计将导致SLA重大违约、引发客户高层投诉或涉及重大法律合规风险时，无论当前等级，事件经理均有权直接升级至公司总经理。</w:t>
      </w:r>
    </w:p>
    <w:p w14:paraId="01C9CA12">
      <w:pPr>
        <w:pStyle w:val="30"/>
        <w:bidi w:val="0"/>
        <w:rPr>
          <w:rFonts w:hint="eastAsia"/>
          <w:lang w:val="en-US" w:eastAsia="zh-CN"/>
        </w:rPr>
      </w:pPr>
      <w:bookmarkStart w:id="21" w:name="_Toc22560"/>
      <w:r>
        <w:rPr>
          <w:rFonts w:hint="eastAsia"/>
          <w:lang w:val="en-US" w:eastAsia="zh-CN"/>
        </w:rPr>
        <w:t>常见事件类别</w:t>
      </w:r>
      <w:bookmarkEnd w:id="21"/>
    </w:p>
    <w:p w14:paraId="0E2F36DB">
      <w:pPr>
        <w:pStyle w:val="29"/>
        <w:bidi w:val="0"/>
        <w:rPr>
          <w:rFonts w:hint="eastAsia"/>
          <w:lang w:val="en-US" w:eastAsia="zh-CN"/>
        </w:rPr>
      </w:pPr>
      <w:r>
        <w:rPr>
          <w:rFonts w:hint="eastAsia"/>
          <w:lang w:val="en-US" w:eastAsia="zh-CN"/>
        </w:rPr>
        <w:t>应用功能缺陷：业务逻辑错误、UI/UX故障、流程中断。</w:t>
      </w:r>
    </w:p>
    <w:p w14:paraId="31F5A7AE">
      <w:pPr>
        <w:pStyle w:val="29"/>
        <w:bidi w:val="0"/>
        <w:rPr>
          <w:rFonts w:hint="eastAsia"/>
          <w:lang w:val="en-US" w:eastAsia="zh-CN"/>
        </w:rPr>
      </w:pPr>
      <w:r>
        <w:rPr>
          <w:rFonts w:hint="eastAsia"/>
          <w:lang w:val="en-US" w:eastAsia="zh-CN"/>
        </w:rPr>
        <w:t>性能与可用性：应用响应超时、吞吐量下降、服务可用性波动。</w:t>
      </w:r>
    </w:p>
    <w:p w14:paraId="0260C012">
      <w:pPr>
        <w:pStyle w:val="29"/>
        <w:bidi w:val="0"/>
        <w:rPr>
          <w:rFonts w:hint="eastAsia"/>
          <w:lang w:val="en-US" w:eastAsia="zh-CN"/>
        </w:rPr>
      </w:pPr>
      <w:r>
        <w:rPr>
          <w:rFonts w:hint="eastAsia"/>
          <w:lang w:val="en-US" w:eastAsia="zh-CN"/>
        </w:rPr>
        <w:t>数据问题：数据不一致、计算错误、数据同步延迟或丢失。</w:t>
      </w:r>
    </w:p>
    <w:p w14:paraId="6FD75790">
      <w:pPr>
        <w:pStyle w:val="29"/>
        <w:bidi w:val="0"/>
        <w:rPr>
          <w:rFonts w:hint="eastAsia"/>
          <w:lang w:val="en-US" w:eastAsia="zh-CN"/>
        </w:rPr>
      </w:pPr>
      <w:r>
        <w:rPr>
          <w:rFonts w:hint="eastAsia"/>
          <w:lang w:val="en-US" w:eastAsia="zh-CN"/>
        </w:rPr>
        <w:t>集成与接口故障：API调用失败、消息队列堆积、第三方服务依赖中断。</w:t>
      </w:r>
    </w:p>
    <w:p w14:paraId="258EFC8C">
      <w:pPr>
        <w:pStyle w:val="29"/>
        <w:bidi w:val="0"/>
        <w:rPr>
          <w:rFonts w:hint="eastAsia"/>
          <w:lang w:val="en-US" w:eastAsia="zh-CN"/>
        </w:rPr>
      </w:pPr>
      <w:r>
        <w:rPr>
          <w:rFonts w:hint="eastAsia"/>
          <w:lang w:val="en-US" w:eastAsia="zh-CN"/>
        </w:rPr>
        <w:t>安全与合规事件：漏洞被利用、未授权访问尝试、敏感数据泄露风险、合规审计不合规项。</w:t>
      </w:r>
    </w:p>
    <w:p w14:paraId="60E5F07A">
      <w:pPr>
        <w:pStyle w:val="29"/>
        <w:bidi w:val="0"/>
        <w:rPr>
          <w:rFonts w:hint="eastAsia"/>
          <w:lang w:val="en-US" w:eastAsia="zh-CN"/>
        </w:rPr>
      </w:pPr>
      <w:r>
        <w:rPr>
          <w:rFonts w:hint="eastAsia"/>
          <w:lang w:val="en-US" w:eastAsia="zh-CN"/>
        </w:rPr>
        <w:t>配置与发布问题：错误配置推送、版本发布回滚、环境配置不一致。</w:t>
      </w:r>
    </w:p>
    <w:p w14:paraId="01CF68F5">
      <w:pPr>
        <w:pStyle w:val="29"/>
        <w:bidi w:val="0"/>
        <w:rPr>
          <w:rFonts w:hint="eastAsia"/>
          <w:lang w:val="en-US" w:eastAsia="zh-CN"/>
        </w:rPr>
      </w:pPr>
      <w:r>
        <w:rPr>
          <w:rFonts w:hint="eastAsia"/>
          <w:lang w:val="en-US" w:eastAsia="zh-CN"/>
        </w:rPr>
        <w:t>监控与预警：基于阈值的性能预警、容量预警、业务指标异常告警。</w:t>
      </w:r>
    </w:p>
    <w:p w14:paraId="49ECADBD">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2" w:name="_Toc32443"/>
      <w:r>
        <w:rPr>
          <w:rFonts w:hint="eastAsia"/>
          <w:lang w:val="en-US" w:eastAsia="zh-CN"/>
        </w:rPr>
        <w:t>与其他流程的关系</w:t>
      </w:r>
      <w:bookmarkEnd w:id="22"/>
    </w:p>
    <w:p w14:paraId="10ABCF71">
      <w:pPr>
        <w:pStyle w:val="30"/>
        <w:bidi w:val="0"/>
        <w:rPr>
          <w:rFonts w:hint="default"/>
        </w:rPr>
      </w:pPr>
      <w:bookmarkStart w:id="23" w:name="_Toc12630"/>
      <w:r>
        <w:rPr>
          <w:rFonts w:hint="default"/>
        </w:rPr>
        <w:t>与问题管理的关系</w:t>
      </w:r>
      <w:bookmarkEnd w:id="23"/>
    </w:p>
    <w:p w14:paraId="4D46BDC2">
      <w:pPr>
        <w:pStyle w:val="29"/>
        <w:bidi w:val="0"/>
      </w:pPr>
      <w:r>
        <w:rPr>
          <w:rFonts w:hint="default"/>
        </w:rPr>
        <w:t>事件管理过程中如发现相同故障重复发生、重大事件或系统性缺陷，应触发问题管理流程。事件记录应关联问题编号，形成可追溯的分析链路，事件管理聚焦快速恢复服务，问题管理则致力于根除根本原因，防止同类事件再次发生。</w:t>
      </w:r>
    </w:p>
    <w:p w14:paraId="1F4C174A">
      <w:pPr>
        <w:pStyle w:val="30"/>
        <w:bidi w:val="0"/>
        <w:rPr>
          <w:rFonts w:hint="default"/>
        </w:rPr>
      </w:pPr>
      <w:bookmarkStart w:id="24" w:name="_Toc16694"/>
      <w:r>
        <w:rPr>
          <w:rFonts w:hint="default"/>
        </w:rPr>
        <w:t>与变更管理的关系</w:t>
      </w:r>
      <w:bookmarkEnd w:id="24"/>
    </w:p>
    <w:p w14:paraId="1751E821">
      <w:pPr>
        <w:pStyle w:val="29"/>
        <w:bidi w:val="0"/>
        <w:rPr>
          <w:rFonts w:hint="default"/>
        </w:rPr>
      </w:pPr>
      <w:r>
        <w:rPr>
          <w:rFonts w:hint="default"/>
        </w:rPr>
        <w:t>为解决事件而需在生产环境中进行的任何修改（包括代码、配置、架构调整等），必须通过变更管理流程审批执行。对于P0/P1级别的紧急事件可启用紧急变更通道，变更实施后需进行业务验证，形成"事件-变更-验证"的完整闭环。</w:t>
      </w:r>
    </w:p>
    <w:p w14:paraId="263B4DB0">
      <w:pPr>
        <w:pStyle w:val="30"/>
        <w:bidi w:val="0"/>
        <w:rPr>
          <w:rFonts w:hint="default"/>
        </w:rPr>
      </w:pPr>
      <w:bookmarkStart w:id="25" w:name="_Toc2479"/>
      <w:r>
        <w:rPr>
          <w:rFonts w:hint="default"/>
        </w:rPr>
        <w:t>与配置管理的关系</w:t>
      </w:r>
      <w:bookmarkEnd w:id="25"/>
    </w:p>
    <w:p w14:paraId="33DAF3E2">
      <w:pPr>
        <w:pStyle w:val="29"/>
        <w:bidi w:val="0"/>
        <w:rPr>
          <w:rFonts w:hint="default"/>
        </w:rPr>
      </w:pPr>
      <w:r>
        <w:rPr>
          <w:rFonts w:hint="default"/>
        </w:rPr>
        <w:t>事件诊断与影响范围分析需依赖配置管理数据库提供的准确资产信息、配置项关系及版本信息，同时事件处理过程中发现配置信息不准确或缺失时，应通知配置管理员及时更新，确保配置数据的准确性和时效性。</w:t>
      </w:r>
    </w:p>
    <w:p w14:paraId="571B0FF5">
      <w:pPr>
        <w:pStyle w:val="29"/>
        <w:rPr>
          <w:rFonts w:hint="eastAsia"/>
          <w:lang w:val="en-US" w:eastAsia="zh-CN"/>
        </w:rPr>
      </w:pPr>
    </w:p>
    <w:p w14:paraId="0F8FE964">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6" w:name="_Toc14950"/>
      <w:r>
        <w:rPr>
          <w:rFonts w:hint="eastAsia"/>
          <w:lang w:val="en-US" w:eastAsia="zh-CN"/>
        </w:rPr>
        <w:t>考核指标</w:t>
      </w:r>
      <w:bookmarkEnd w:id="26"/>
    </w:p>
    <w:tbl>
      <w:tblPr>
        <w:tblStyle w:val="20"/>
        <w:tblW w:w="7675"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227"/>
        <w:gridCol w:w="1092"/>
        <w:gridCol w:w="3660"/>
        <w:gridCol w:w="696"/>
      </w:tblGrid>
      <w:tr w14:paraId="025609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3" w:hRule="atLeast"/>
        </w:trPr>
        <w:tc>
          <w:tcPr>
            <w:tcW w:w="2227"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7FE66FA3">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KPI</w:t>
            </w:r>
          </w:p>
        </w:tc>
        <w:tc>
          <w:tcPr>
            <w:tcW w:w="1092"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0A6E934D">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目标值</w:t>
            </w:r>
          </w:p>
        </w:tc>
        <w:tc>
          <w:tcPr>
            <w:tcW w:w="3660"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3D047238">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计算公式/方法</w:t>
            </w:r>
          </w:p>
        </w:tc>
        <w:tc>
          <w:tcPr>
            <w:tcW w:w="696"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6AD2DF9B">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频度</w:t>
            </w:r>
          </w:p>
        </w:tc>
      </w:tr>
      <w:tr w14:paraId="22DB11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3" w:hRule="atLeast"/>
        </w:trPr>
        <w:tc>
          <w:tcPr>
            <w:tcW w:w="22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584467">
            <w:pPr>
              <w:keepNext w:val="0"/>
              <w:keepLines w:val="0"/>
              <w:widowControl/>
              <w:suppressLineNumbers w:val="0"/>
              <w:jc w:val="left"/>
              <w:textAlignment w:val="center"/>
              <w:rPr>
                <w:rFonts w:hint="default" w:ascii="楷体_GB2312" w:hAnsi="宋体" w:eastAsia="楷体_GB2312" w:cs="楷体_GB2312"/>
                <w:b/>
                <w:bCs/>
                <w:i w:val="0"/>
                <w:iCs w:val="0"/>
                <w:snapToGrid w:val="0"/>
                <w:color w:val="000000"/>
                <w:kern w:val="0"/>
                <w:sz w:val="22"/>
                <w:szCs w:val="22"/>
                <w:u w:val="none"/>
                <w:lang w:val="en-US" w:eastAsia="zh-CN"/>
              </w:rPr>
            </w:pPr>
            <w:r>
              <w:rPr>
                <w:rFonts w:hint="eastAsia" w:ascii="宋体" w:hAnsi="宋体" w:eastAsia="宋体" w:cs="宋体"/>
                <w:i w:val="0"/>
                <w:iCs w:val="0"/>
                <w:snapToGrid w:val="0"/>
                <w:color w:val="000000"/>
                <w:kern w:val="0"/>
                <w:sz w:val="21"/>
                <w:szCs w:val="21"/>
                <w:u w:val="none"/>
                <w:lang w:val="en-US" w:eastAsia="zh-CN"/>
              </w:rPr>
              <w:t>事件解决率</w:t>
            </w:r>
          </w:p>
        </w:tc>
        <w:tc>
          <w:tcPr>
            <w:tcW w:w="10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2B754E">
            <w:pPr>
              <w:keepNext w:val="0"/>
              <w:keepLines w:val="0"/>
              <w:widowControl/>
              <w:suppressLineNumbers w:val="0"/>
              <w:jc w:val="left"/>
              <w:textAlignment w:val="center"/>
              <w:rPr>
                <w:rFonts w:hint="default" w:ascii="楷体_GB2312" w:hAnsi="宋体" w:eastAsia="楷体_GB2312" w:cs="楷体_GB2312"/>
                <w:b/>
                <w:bCs/>
                <w:i w:val="0"/>
                <w:iCs w:val="0"/>
                <w:snapToGrid w:val="0"/>
                <w:color w:val="000000"/>
                <w:kern w:val="0"/>
                <w:sz w:val="22"/>
                <w:szCs w:val="22"/>
                <w:u w:val="none"/>
                <w:lang w:val="en-US" w:eastAsia="zh-CN"/>
              </w:rPr>
            </w:pPr>
            <w:r>
              <w:rPr>
                <w:rFonts w:hint="eastAsia" w:ascii="宋体" w:hAnsi="宋体" w:eastAsia="宋体" w:cs="宋体"/>
                <w:i w:val="0"/>
                <w:iCs w:val="0"/>
                <w:snapToGrid w:val="0"/>
                <w:color w:val="000000"/>
                <w:kern w:val="0"/>
                <w:sz w:val="21"/>
                <w:szCs w:val="21"/>
                <w:u w:val="none"/>
                <w:lang w:val="en-US" w:eastAsia="zh-CN"/>
              </w:rPr>
              <w:t>≥90%</w:t>
            </w:r>
          </w:p>
        </w:tc>
        <w:tc>
          <w:tcPr>
            <w:tcW w:w="3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647311">
            <w:pPr>
              <w:keepNext w:val="0"/>
              <w:keepLines w:val="0"/>
              <w:widowControl/>
              <w:suppressLineNumbers w:val="0"/>
              <w:jc w:val="left"/>
              <w:textAlignment w:val="center"/>
              <w:rPr>
                <w:rFonts w:hint="default" w:ascii="楷体_GB2312" w:hAnsi="宋体" w:eastAsia="楷体_GB2312" w:cs="楷体_GB2312"/>
                <w:b/>
                <w:bCs/>
                <w:i w:val="0"/>
                <w:iCs w:val="0"/>
                <w:snapToGrid w:val="0"/>
                <w:color w:val="000000"/>
                <w:kern w:val="0"/>
                <w:sz w:val="22"/>
                <w:szCs w:val="22"/>
                <w:u w:val="none"/>
                <w:lang w:val="en-US" w:eastAsia="zh-CN"/>
              </w:rPr>
            </w:pPr>
            <w:r>
              <w:rPr>
                <w:rFonts w:hint="eastAsia" w:ascii="宋体" w:hAnsi="宋体" w:eastAsia="宋体" w:cs="宋体"/>
                <w:i w:val="0"/>
                <w:iCs w:val="0"/>
                <w:snapToGrid w:val="0"/>
                <w:color w:val="000000"/>
                <w:kern w:val="0"/>
                <w:sz w:val="21"/>
                <w:szCs w:val="21"/>
                <w:u w:val="none"/>
                <w:lang w:val="en-US" w:eastAsia="zh-CN"/>
              </w:rPr>
              <w:t>成功解决事件数/已关闭事件总数</w:t>
            </w:r>
          </w:p>
        </w:tc>
        <w:tc>
          <w:tcPr>
            <w:tcW w:w="69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96D1FF">
            <w:pPr>
              <w:keepNext w:val="0"/>
              <w:keepLines w:val="0"/>
              <w:widowControl/>
              <w:suppressLineNumbers w:val="0"/>
              <w:jc w:val="left"/>
              <w:textAlignment w:val="center"/>
              <w:rPr>
                <w:rFonts w:hint="default" w:ascii="楷体_GB2312" w:hAnsi="宋体" w:eastAsia="楷体_GB2312" w:cs="楷体_GB2312"/>
                <w:b/>
                <w:bCs/>
                <w:i w:val="0"/>
                <w:iCs w:val="0"/>
                <w:snapToGrid w:val="0"/>
                <w:color w:val="000000"/>
                <w:kern w:val="0"/>
                <w:sz w:val="22"/>
                <w:szCs w:val="22"/>
                <w:u w:val="none"/>
                <w:lang w:val="en-US" w:eastAsia="zh-CN"/>
              </w:rPr>
            </w:pPr>
            <w:r>
              <w:rPr>
                <w:rFonts w:hint="eastAsia" w:ascii="宋体" w:hAnsi="宋体" w:eastAsia="宋体" w:cs="宋体"/>
                <w:i w:val="0"/>
                <w:iCs w:val="0"/>
                <w:snapToGrid w:val="0"/>
                <w:color w:val="000000"/>
                <w:kern w:val="0"/>
                <w:sz w:val="21"/>
                <w:szCs w:val="21"/>
                <w:u w:val="none"/>
                <w:lang w:val="en-US" w:eastAsia="zh-CN"/>
              </w:rPr>
              <w:t>月度</w:t>
            </w:r>
          </w:p>
        </w:tc>
      </w:tr>
      <w:tr w14:paraId="777EF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3" w:hRule="atLeast"/>
        </w:trPr>
        <w:tc>
          <w:tcPr>
            <w:tcW w:w="22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F08A41">
            <w:pPr>
              <w:keepNext w:val="0"/>
              <w:keepLines w:val="0"/>
              <w:widowControl/>
              <w:suppressLineNumbers w:val="0"/>
              <w:jc w:val="left"/>
              <w:textAlignment w:val="center"/>
              <w:rPr>
                <w:rFonts w:hint="eastAsia" w:ascii="宋体" w:hAnsi="宋体" w:eastAsia="宋体" w:cs="宋体"/>
                <w:i w:val="0"/>
                <w:iCs w:val="0"/>
                <w:snapToGrid w:val="0"/>
                <w:color w:val="000000"/>
                <w:kern w:val="0"/>
                <w:sz w:val="21"/>
                <w:szCs w:val="21"/>
                <w:u w:val="none"/>
                <w:lang w:val="en-US" w:eastAsia="zh-CN"/>
              </w:rPr>
            </w:pPr>
            <w:r>
              <w:rPr>
                <w:rFonts w:hint="eastAsia" w:ascii="宋体" w:hAnsi="宋体" w:eastAsia="宋体" w:cs="宋体"/>
                <w:i w:val="0"/>
                <w:iCs w:val="0"/>
                <w:snapToGrid w:val="0"/>
                <w:color w:val="000000"/>
                <w:kern w:val="0"/>
                <w:sz w:val="21"/>
                <w:szCs w:val="21"/>
                <w:u w:val="none"/>
                <w:lang w:val="en-US" w:eastAsia="zh-CN"/>
              </w:rPr>
              <w:t>事件解决用户满意度</w:t>
            </w:r>
          </w:p>
        </w:tc>
        <w:tc>
          <w:tcPr>
            <w:tcW w:w="10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FD950F">
            <w:pPr>
              <w:keepNext w:val="0"/>
              <w:keepLines w:val="0"/>
              <w:widowControl/>
              <w:suppressLineNumbers w:val="0"/>
              <w:jc w:val="left"/>
              <w:textAlignment w:val="center"/>
              <w:rPr>
                <w:rFonts w:hint="eastAsia" w:ascii="宋体" w:hAnsi="宋体" w:eastAsia="宋体" w:cs="宋体"/>
                <w:i w:val="0"/>
                <w:iCs w:val="0"/>
                <w:snapToGrid w:val="0"/>
                <w:color w:val="000000"/>
                <w:kern w:val="0"/>
                <w:sz w:val="21"/>
                <w:szCs w:val="21"/>
                <w:u w:val="none"/>
                <w:lang w:val="en-US" w:eastAsia="zh-CN"/>
              </w:rPr>
            </w:pPr>
            <w:r>
              <w:rPr>
                <w:rFonts w:hint="eastAsia" w:ascii="宋体" w:hAnsi="宋体" w:eastAsia="宋体" w:cs="宋体"/>
                <w:i w:val="0"/>
                <w:iCs w:val="0"/>
                <w:snapToGrid w:val="0"/>
                <w:color w:val="000000"/>
                <w:kern w:val="0"/>
                <w:sz w:val="21"/>
                <w:szCs w:val="21"/>
                <w:u w:val="none"/>
                <w:lang w:val="en-US" w:eastAsia="zh-CN"/>
              </w:rPr>
              <w:t>≥90%</w:t>
            </w:r>
          </w:p>
        </w:tc>
        <w:tc>
          <w:tcPr>
            <w:tcW w:w="3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64CA27">
            <w:pPr>
              <w:keepNext w:val="0"/>
              <w:keepLines w:val="0"/>
              <w:widowControl/>
              <w:suppressLineNumbers w:val="0"/>
              <w:jc w:val="left"/>
              <w:textAlignment w:val="center"/>
              <w:rPr>
                <w:rFonts w:hint="eastAsia" w:ascii="宋体" w:hAnsi="宋体" w:eastAsia="宋体" w:cs="宋体"/>
                <w:i w:val="0"/>
                <w:iCs w:val="0"/>
                <w:snapToGrid w:val="0"/>
                <w:color w:val="000000"/>
                <w:kern w:val="0"/>
                <w:sz w:val="21"/>
                <w:szCs w:val="21"/>
                <w:u w:val="none"/>
                <w:lang w:val="en-US" w:eastAsia="zh-CN"/>
              </w:rPr>
            </w:pPr>
            <w:r>
              <w:rPr>
                <w:rFonts w:hint="eastAsia" w:ascii="宋体" w:hAnsi="宋体" w:eastAsia="宋体" w:cs="宋体"/>
                <w:i w:val="0"/>
                <w:iCs w:val="0"/>
                <w:snapToGrid w:val="0"/>
                <w:color w:val="000000"/>
                <w:kern w:val="0"/>
                <w:sz w:val="21"/>
                <w:szCs w:val="21"/>
                <w:u w:val="none"/>
                <w:lang w:val="en-US" w:eastAsia="zh-CN"/>
              </w:rPr>
              <w:t>（调查结果为满意、非常满意的用户数量/调查满意度用户总数）*100%</w:t>
            </w:r>
          </w:p>
        </w:tc>
        <w:tc>
          <w:tcPr>
            <w:tcW w:w="69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4F6287">
            <w:pPr>
              <w:keepNext w:val="0"/>
              <w:keepLines w:val="0"/>
              <w:widowControl/>
              <w:suppressLineNumbers w:val="0"/>
              <w:jc w:val="left"/>
              <w:textAlignment w:val="center"/>
              <w:rPr>
                <w:rFonts w:hint="eastAsia" w:ascii="宋体" w:hAnsi="宋体" w:eastAsia="宋体" w:cs="宋体"/>
                <w:i w:val="0"/>
                <w:iCs w:val="0"/>
                <w:snapToGrid w:val="0"/>
                <w:color w:val="000000"/>
                <w:kern w:val="0"/>
                <w:sz w:val="21"/>
                <w:szCs w:val="21"/>
                <w:u w:val="none"/>
                <w:lang w:val="en-US" w:eastAsia="zh-CN"/>
              </w:rPr>
            </w:pPr>
            <w:r>
              <w:rPr>
                <w:rFonts w:hint="eastAsia" w:ascii="宋体" w:hAnsi="宋体" w:eastAsia="宋体" w:cs="宋体"/>
                <w:i w:val="0"/>
                <w:iCs w:val="0"/>
                <w:snapToGrid w:val="0"/>
                <w:color w:val="000000"/>
                <w:kern w:val="0"/>
                <w:sz w:val="21"/>
                <w:szCs w:val="21"/>
                <w:u w:val="none"/>
                <w:lang w:val="en-US" w:eastAsia="zh-CN"/>
              </w:rPr>
              <w:t>季度</w:t>
            </w:r>
          </w:p>
        </w:tc>
      </w:tr>
    </w:tbl>
    <w:p w14:paraId="1C795077">
      <w:pPr>
        <w:pStyle w:val="28"/>
        <w:bidi w:val="0"/>
        <w:rPr>
          <w:rFonts w:hint="eastAsia"/>
          <w:lang w:val="en-US" w:eastAsia="zh-CN"/>
        </w:rPr>
      </w:pPr>
      <w:bookmarkStart w:id="27" w:name="_Toc29324"/>
      <w:r>
        <w:rPr>
          <w:rFonts w:hint="eastAsia"/>
          <w:lang w:val="en-US" w:eastAsia="zh-CN"/>
        </w:rPr>
        <w:t>附则</w:t>
      </w:r>
      <w:bookmarkEnd w:id="27"/>
    </w:p>
    <w:p w14:paraId="6AF8BEAF">
      <w:pPr>
        <w:pStyle w:val="29"/>
        <w:bidi w:val="0"/>
        <w:rPr>
          <w:rFonts w:hint="eastAsia"/>
          <w:lang w:val="en-US" w:eastAsia="zh-CN"/>
        </w:rPr>
      </w:pPr>
      <w:r>
        <w:rPr>
          <w:rFonts w:hint="eastAsia"/>
          <w:lang w:val="en-US" w:eastAsia="zh-CN"/>
        </w:rPr>
        <w:t>本制度由数智运营部负责解释与修订。</w:t>
      </w:r>
    </w:p>
    <w:p w14:paraId="67DA8C54">
      <w:pPr>
        <w:pStyle w:val="29"/>
        <w:bidi w:val="0"/>
        <w:rPr>
          <w:rFonts w:hint="eastAsia"/>
          <w:lang w:val="en-US" w:eastAsia="zh-CN"/>
        </w:rPr>
      </w:pPr>
      <w:r>
        <w:rPr>
          <w:rFonts w:hint="eastAsia"/>
          <w:lang w:val="en-US" w:eastAsia="zh-CN"/>
        </w:rPr>
        <w:t>本制度自发布之日起生效。所有相关员工必须遵照执行。</w:t>
      </w:r>
    </w:p>
    <w:p w14:paraId="53697F63">
      <w:pPr>
        <w:pStyle w:val="29"/>
        <w:bidi w:val="0"/>
        <w:rPr>
          <w:rFonts w:hint="eastAsia"/>
          <w:lang w:val="en-US" w:eastAsia="zh-CN"/>
        </w:rPr>
      </w:pPr>
      <w:r>
        <w:rPr>
          <w:rFonts w:hint="eastAsia"/>
          <w:lang w:val="en-US" w:eastAsia="zh-CN"/>
        </w:rPr>
        <w:t>本制度涉及的《事件记录单》、《事件升级记录表》等操作模板，由数智运营部负责制定与维护。</w:t>
      </w:r>
    </w:p>
    <w:p w14:paraId="2681ADD1">
      <w:pPr>
        <w:pStyle w:val="29"/>
        <w:bidi w:val="0"/>
        <w:rPr>
          <w:rFonts w:hint="eastAsia"/>
          <w:lang w:val="en-US" w:eastAsia="zh-CN"/>
        </w:rPr>
      </w:pPr>
      <w:r>
        <w:rPr>
          <w:rFonts w:hint="eastAsia"/>
          <w:lang w:val="en-US" w:eastAsia="zh-CN"/>
        </w:rPr>
        <w:t>事件管理流程的具体绩效指标与目标值，由数智运营部协同质量管理部，依据各项目《服务级别协议》及公司质量目标另行制定与考核。</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59633">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江西通信产业服务有限公司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5E417F6"/>
    <w:rsid w:val="60881D76"/>
    <w:rsid w:val="6A2329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link w:val="44"/>
    <w:qFormat/>
    <w:uiPriority w:val="0"/>
    <w:pPr>
      <w:spacing w:line="360" w:lineRule="auto"/>
    </w:pPr>
    <w:rPr>
      <w:rFonts w:ascii="Arial" w:hAnsi="Arial" w:eastAsia="宋体"/>
      <w:sz w:val="28"/>
    </w:rPr>
  </w:style>
  <w:style w:type="paragraph" w:customStyle="1" w:styleId="31">
    <w:name w:val="柴_标题3"/>
    <w:basedOn w:val="4"/>
    <w:next w:val="29"/>
    <w:link w:val="43"/>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 w:type="character" w:customStyle="1" w:styleId="43">
    <w:name w:val="柴_标题3 Char"/>
    <w:link w:val="31"/>
    <w:qFormat/>
    <w:uiPriority w:val="0"/>
    <w:rPr>
      <w:rFonts w:ascii="宋体" w:hAnsi="宋体" w:eastAsia="宋体" w:cs="宋体"/>
      <w:spacing w:val="-2"/>
      <w:sz w:val="24"/>
      <w:szCs w:val="24"/>
    </w:rPr>
  </w:style>
  <w:style w:type="character" w:customStyle="1" w:styleId="44">
    <w:name w:val="柴_标题2 Char"/>
    <w:link w:val="30"/>
    <w:qFormat/>
    <w:uiPriority w:val="0"/>
    <w:rPr>
      <w:rFonts w:ascii="Arial" w:hAnsi="Arial" w:eastAsia="宋体"/>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2197</Words>
  <Characters>2329</Characters>
  <Lines>0</Lines>
  <Paragraphs>0</Paragraphs>
  <TotalTime>0</TotalTime>
  <ScaleCrop>false</ScaleCrop>
  <LinksUpToDate>false</LinksUpToDate>
  <CharactersWithSpaces>2444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2026-02-06T14:23:21Z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2052-12.1.0.24657</vt:lpwstr>
  </property>
  <property fmtid="{D5CDD505-2E9C-101B-9397-08002B2CF9AE}" pid="4" name="KSOTemplateDocerSaveRecord">
    <vt:lpwstr>eyJoZGlkIjoiZWI4NmUzMGY2ODA3MDc4ZTFlMjZjZTAyMjM0NmVmODgiLCJ1c2VySWQiOiIxMDc1MzgyOSJ9</vt:lpwstr>
  </property>
</Properties>
</file>