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AB5BA">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5780"/>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49010CA7">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8056"/>
      <w:r>
        <w:rPr>
          <w:rFonts w:hint="eastAsia"/>
          <w:lang w:val="en-US" w:eastAsia="zh-CN"/>
        </w:rPr>
        <w:t>服务可用性和连续性管理制度</w:t>
      </w:r>
      <w:bookmarkEnd w:id="1"/>
    </w:p>
    <w:p w14:paraId="31B4E060">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1CF7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681421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638CBFC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CF1B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BBE287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EE2FF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C360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7F2799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3DED0E4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6BDC70C1">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2AC472A">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45320D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64D84CBF">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739EE0D1">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7A48876E">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0CFAA2FE">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44F9097A">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69C238ED">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3510D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01150CE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25136A3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69725240">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6B5D42D3">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339814F9">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1372A58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587EB1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6D514C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6BD8485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3E5C9E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468AEF3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DFBF5D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23BCF2F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1165F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C2A11D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B30699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79783D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A120A9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4908E7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2A238D1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6AE1F3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6140FA7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E6391B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EA2261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37DAA0D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7C8EB4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7DAE25B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15072BF9">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64D6B8C">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7EAEF42B">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_Toc15780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_Toc15780 \h </w:instrText>
          </w:r>
          <w:r>
            <w:fldChar w:fldCharType="separate"/>
          </w:r>
          <w:r>
            <w:t>1</w:t>
          </w:r>
          <w:r>
            <w:fldChar w:fldCharType="end"/>
          </w:r>
          <w:r>
            <w:rPr>
              <w:rFonts w:hint="eastAsia" w:ascii="宋体" w:hAnsi="宋体" w:eastAsia="宋体" w:cs="宋体"/>
              <w:szCs w:val="24"/>
            </w:rPr>
            <w:fldChar w:fldCharType="end"/>
          </w:r>
        </w:p>
        <w:p w14:paraId="7AECD96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_Toc28056 </w:instrText>
          </w:r>
          <w:r>
            <w:rPr>
              <w:rFonts w:hint="eastAsia" w:ascii="宋体" w:hAnsi="宋体" w:eastAsia="宋体" w:cs="宋体"/>
              <w:szCs w:val="24"/>
            </w:rPr>
            <w:fldChar w:fldCharType="separate"/>
          </w:r>
          <w:r>
            <w:rPr>
              <w:rFonts w:hint="eastAsia"/>
              <w:lang w:val="en-US" w:eastAsia="zh-CN"/>
            </w:rPr>
            <w:t>服务可用性和连续性管理制度</w:t>
          </w:r>
          <w:r>
            <w:tab/>
          </w:r>
          <w:r>
            <w:fldChar w:fldCharType="begin"/>
          </w:r>
          <w:r>
            <w:instrText xml:space="preserve"> PAGEREF _Toc28056 \h </w:instrText>
          </w:r>
          <w:r>
            <w:fldChar w:fldCharType="separate"/>
          </w:r>
          <w:r>
            <w:t>1</w:t>
          </w:r>
          <w:r>
            <w:fldChar w:fldCharType="end"/>
          </w:r>
          <w:r>
            <w:rPr>
              <w:rFonts w:hint="eastAsia" w:ascii="宋体" w:hAnsi="宋体" w:eastAsia="宋体" w:cs="宋体"/>
              <w:szCs w:val="24"/>
            </w:rPr>
            <w:fldChar w:fldCharType="end"/>
          </w:r>
        </w:p>
        <w:p w14:paraId="2B29056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_Toc25239 </w:instrText>
          </w:r>
          <w:r>
            <w:rPr>
              <w:rFonts w:hint="eastAsia" w:ascii="宋体" w:hAnsi="宋体" w:eastAsia="宋体" w:cs="宋体"/>
              <w:szCs w:val="24"/>
            </w:rPr>
            <w:fldChar w:fldCharType="separate"/>
          </w:r>
          <w:r>
            <w:rPr>
              <w:rFonts w:hint="default"/>
              <w:lang w:val="en-US" w:eastAsia="zh-CN"/>
            </w:rPr>
            <w:t>1. 总则</w:t>
          </w:r>
          <w:r>
            <w:tab/>
          </w:r>
          <w:r>
            <w:fldChar w:fldCharType="begin"/>
          </w:r>
          <w:r>
            <w:instrText xml:space="preserve"> PAGEREF _Toc25239 \h </w:instrText>
          </w:r>
          <w:r>
            <w:fldChar w:fldCharType="separate"/>
          </w:r>
          <w:r>
            <w:t>4</w:t>
          </w:r>
          <w:r>
            <w:fldChar w:fldCharType="end"/>
          </w:r>
          <w:r>
            <w:rPr>
              <w:rFonts w:hint="eastAsia" w:ascii="宋体" w:hAnsi="宋体" w:eastAsia="宋体" w:cs="宋体"/>
              <w:szCs w:val="24"/>
            </w:rPr>
            <w:fldChar w:fldCharType="end"/>
          </w:r>
        </w:p>
        <w:p w14:paraId="30B90B7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_Toc24504 </w:instrText>
          </w:r>
          <w:r>
            <w:rPr>
              <w:rFonts w:hint="eastAsia" w:ascii="宋体" w:hAnsi="宋体" w:eastAsia="宋体" w:cs="宋体"/>
              <w:szCs w:val="24"/>
            </w:rPr>
            <w:fldChar w:fldCharType="separate"/>
          </w:r>
          <w:r>
            <w:rPr>
              <w:rFonts w:hint="default"/>
              <w:lang w:val="en-US" w:eastAsia="zh-CN"/>
            </w:rPr>
            <w:t>1.1. 目的</w:t>
          </w:r>
          <w:r>
            <w:tab/>
          </w:r>
          <w:r>
            <w:fldChar w:fldCharType="begin"/>
          </w:r>
          <w:r>
            <w:instrText xml:space="preserve"> PAGEREF _Toc24504 \h </w:instrText>
          </w:r>
          <w:r>
            <w:fldChar w:fldCharType="separate"/>
          </w:r>
          <w:r>
            <w:t>4</w:t>
          </w:r>
          <w:r>
            <w:fldChar w:fldCharType="end"/>
          </w:r>
          <w:r>
            <w:rPr>
              <w:rFonts w:hint="eastAsia" w:ascii="宋体" w:hAnsi="宋体" w:eastAsia="宋体" w:cs="宋体"/>
              <w:szCs w:val="24"/>
            </w:rPr>
            <w:fldChar w:fldCharType="end"/>
          </w:r>
        </w:p>
        <w:p w14:paraId="79F39C0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_Toc21481 </w:instrText>
          </w:r>
          <w:r>
            <w:rPr>
              <w:rFonts w:hint="eastAsia" w:ascii="宋体" w:hAnsi="宋体" w:eastAsia="宋体" w:cs="宋体"/>
              <w:szCs w:val="24"/>
            </w:rPr>
            <w:fldChar w:fldCharType="separate"/>
          </w:r>
          <w:r>
            <w:rPr>
              <w:rFonts w:hint="default"/>
              <w:lang w:val="en-US" w:eastAsia="zh-CN"/>
            </w:rPr>
            <w:t>1.2. 适用范围</w:t>
          </w:r>
          <w:r>
            <w:tab/>
          </w:r>
          <w:r>
            <w:fldChar w:fldCharType="begin"/>
          </w:r>
          <w:r>
            <w:instrText xml:space="preserve"> PAGEREF _Toc21481 \h </w:instrText>
          </w:r>
          <w:r>
            <w:fldChar w:fldCharType="separate"/>
          </w:r>
          <w:r>
            <w:t>4</w:t>
          </w:r>
          <w:r>
            <w:fldChar w:fldCharType="end"/>
          </w:r>
          <w:r>
            <w:rPr>
              <w:rFonts w:hint="eastAsia" w:ascii="宋体" w:hAnsi="宋体" w:eastAsia="宋体" w:cs="宋体"/>
              <w:szCs w:val="24"/>
            </w:rPr>
            <w:fldChar w:fldCharType="end"/>
          </w:r>
        </w:p>
        <w:p w14:paraId="6055BDC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_Toc29902 </w:instrText>
          </w:r>
          <w:r>
            <w:rPr>
              <w:rFonts w:hint="eastAsia" w:ascii="宋体" w:hAnsi="宋体" w:eastAsia="宋体" w:cs="宋体"/>
              <w:szCs w:val="24"/>
            </w:rPr>
            <w:fldChar w:fldCharType="separate"/>
          </w:r>
          <w:r>
            <w:rPr>
              <w:rFonts w:hint="default"/>
              <w:lang w:val="en-US" w:eastAsia="zh-CN"/>
            </w:rPr>
            <w:t>1.3. 原则</w:t>
          </w:r>
          <w:r>
            <w:tab/>
          </w:r>
          <w:r>
            <w:fldChar w:fldCharType="begin"/>
          </w:r>
          <w:r>
            <w:instrText xml:space="preserve"> PAGEREF _Toc29902 \h </w:instrText>
          </w:r>
          <w:r>
            <w:fldChar w:fldCharType="separate"/>
          </w:r>
          <w:r>
            <w:t>4</w:t>
          </w:r>
          <w:r>
            <w:fldChar w:fldCharType="end"/>
          </w:r>
          <w:r>
            <w:rPr>
              <w:rFonts w:hint="eastAsia" w:ascii="宋体" w:hAnsi="宋体" w:eastAsia="宋体" w:cs="宋体"/>
              <w:szCs w:val="24"/>
            </w:rPr>
            <w:fldChar w:fldCharType="end"/>
          </w:r>
        </w:p>
        <w:p w14:paraId="624512B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_Toc6436 </w:instrText>
          </w:r>
          <w:r>
            <w:rPr>
              <w:rFonts w:hint="eastAsia" w:ascii="宋体" w:hAnsi="宋体" w:eastAsia="宋体" w:cs="宋体"/>
              <w:szCs w:val="24"/>
            </w:rPr>
            <w:fldChar w:fldCharType="separate"/>
          </w:r>
          <w:r>
            <w:rPr>
              <w:rFonts w:hint="default"/>
              <w:lang w:val="en-US" w:eastAsia="zh-CN"/>
            </w:rPr>
            <w:t>2. 定义与术语</w:t>
          </w:r>
          <w:r>
            <w:tab/>
          </w:r>
          <w:r>
            <w:fldChar w:fldCharType="begin"/>
          </w:r>
          <w:r>
            <w:instrText xml:space="preserve"> PAGEREF _Toc6436 \h </w:instrText>
          </w:r>
          <w:r>
            <w:fldChar w:fldCharType="separate"/>
          </w:r>
          <w:r>
            <w:t>4</w:t>
          </w:r>
          <w:r>
            <w:fldChar w:fldCharType="end"/>
          </w:r>
          <w:r>
            <w:rPr>
              <w:rFonts w:hint="eastAsia" w:ascii="宋体" w:hAnsi="宋体" w:eastAsia="宋体" w:cs="宋体"/>
              <w:szCs w:val="24"/>
            </w:rPr>
            <w:fldChar w:fldCharType="end"/>
          </w:r>
        </w:p>
        <w:p w14:paraId="28F6708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_Toc22723 </w:instrText>
          </w:r>
          <w:r>
            <w:rPr>
              <w:rFonts w:hint="eastAsia" w:ascii="宋体" w:hAnsi="宋体" w:eastAsia="宋体" w:cs="宋体"/>
              <w:szCs w:val="24"/>
            </w:rPr>
            <w:fldChar w:fldCharType="separate"/>
          </w:r>
          <w:r>
            <w:rPr>
              <w:rFonts w:hint="default"/>
              <w:lang w:val="en-US" w:eastAsia="zh-CN"/>
            </w:rPr>
            <w:t>3. 角色与职责</w:t>
          </w:r>
          <w:r>
            <w:tab/>
          </w:r>
          <w:r>
            <w:fldChar w:fldCharType="begin"/>
          </w:r>
          <w:r>
            <w:instrText xml:space="preserve"> PAGEREF _Toc22723 \h </w:instrText>
          </w:r>
          <w:r>
            <w:fldChar w:fldCharType="separate"/>
          </w:r>
          <w:r>
            <w:t>4</w:t>
          </w:r>
          <w:r>
            <w:fldChar w:fldCharType="end"/>
          </w:r>
          <w:r>
            <w:rPr>
              <w:rFonts w:hint="eastAsia" w:ascii="宋体" w:hAnsi="宋体" w:eastAsia="宋体" w:cs="宋体"/>
              <w:szCs w:val="24"/>
            </w:rPr>
            <w:fldChar w:fldCharType="end"/>
          </w:r>
        </w:p>
        <w:p w14:paraId="7600045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_Toc3825 </w:instrText>
          </w:r>
          <w:r>
            <w:rPr>
              <w:rFonts w:hint="eastAsia" w:ascii="宋体" w:hAnsi="宋体" w:eastAsia="宋体" w:cs="宋体"/>
              <w:szCs w:val="24"/>
            </w:rPr>
            <w:fldChar w:fldCharType="separate"/>
          </w:r>
          <w:r>
            <w:rPr>
              <w:rFonts w:hint="default"/>
              <w:lang w:val="en-US" w:eastAsia="zh-CN"/>
            </w:rPr>
            <w:t>4. 服务可用性管理</w:t>
          </w:r>
          <w:r>
            <w:tab/>
          </w:r>
          <w:r>
            <w:fldChar w:fldCharType="begin"/>
          </w:r>
          <w:r>
            <w:instrText xml:space="preserve"> PAGEREF _Toc3825 \h </w:instrText>
          </w:r>
          <w:r>
            <w:fldChar w:fldCharType="separate"/>
          </w:r>
          <w:r>
            <w:t>5</w:t>
          </w:r>
          <w:r>
            <w:fldChar w:fldCharType="end"/>
          </w:r>
          <w:r>
            <w:rPr>
              <w:rFonts w:hint="eastAsia" w:ascii="宋体" w:hAnsi="宋体" w:eastAsia="宋体" w:cs="宋体"/>
              <w:szCs w:val="24"/>
            </w:rPr>
            <w:fldChar w:fldCharType="end"/>
          </w:r>
        </w:p>
        <w:p w14:paraId="4D89EAE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_Toc23673 </w:instrText>
          </w:r>
          <w:r>
            <w:rPr>
              <w:rFonts w:hint="eastAsia" w:ascii="宋体" w:hAnsi="宋体" w:eastAsia="宋体" w:cs="宋体"/>
              <w:szCs w:val="24"/>
            </w:rPr>
            <w:fldChar w:fldCharType="separate"/>
          </w:r>
          <w:r>
            <w:rPr>
              <w:rFonts w:hint="default"/>
              <w:lang w:val="en-US" w:eastAsia="zh-CN"/>
            </w:rPr>
            <w:t>4.1. 可用性目标设定与协商</w:t>
          </w:r>
          <w:r>
            <w:tab/>
          </w:r>
          <w:r>
            <w:fldChar w:fldCharType="begin"/>
          </w:r>
          <w:r>
            <w:instrText xml:space="preserve"> PAGEREF _Toc23673 \h </w:instrText>
          </w:r>
          <w:r>
            <w:fldChar w:fldCharType="separate"/>
          </w:r>
          <w:r>
            <w:t>5</w:t>
          </w:r>
          <w:r>
            <w:fldChar w:fldCharType="end"/>
          </w:r>
          <w:r>
            <w:rPr>
              <w:rFonts w:hint="eastAsia" w:ascii="宋体" w:hAnsi="宋体" w:eastAsia="宋体" w:cs="宋体"/>
              <w:szCs w:val="24"/>
            </w:rPr>
            <w:fldChar w:fldCharType="end"/>
          </w:r>
        </w:p>
        <w:p w14:paraId="710251F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_Toc30234 </w:instrText>
          </w:r>
          <w:r>
            <w:rPr>
              <w:rFonts w:hint="eastAsia" w:ascii="宋体" w:hAnsi="宋体" w:eastAsia="宋体" w:cs="宋体"/>
              <w:szCs w:val="24"/>
            </w:rPr>
            <w:fldChar w:fldCharType="separate"/>
          </w:r>
          <w:r>
            <w:rPr>
              <w:rFonts w:hint="default"/>
              <w:lang w:val="en-US" w:eastAsia="zh-CN"/>
            </w:rPr>
            <w:t>4.2. 可用性监控与测量</w:t>
          </w:r>
          <w:r>
            <w:tab/>
          </w:r>
          <w:r>
            <w:fldChar w:fldCharType="begin"/>
          </w:r>
          <w:r>
            <w:instrText xml:space="preserve"> PAGEREF _Toc30234 \h </w:instrText>
          </w:r>
          <w:r>
            <w:fldChar w:fldCharType="separate"/>
          </w:r>
          <w:r>
            <w:t>5</w:t>
          </w:r>
          <w:r>
            <w:fldChar w:fldCharType="end"/>
          </w:r>
          <w:r>
            <w:rPr>
              <w:rFonts w:hint="eastAsia" w:ascii="宋体" w:hAnsi="宋体" w:eastAsia="宋体" w:cs="宋体"/>
              <w:szCs w:val="24"/>
            </w:rPr>
            <w:fldChar w:fldCharType="end"/>
          </w:r>
        </w:p>
        <w:p w14:paraId="493DCD5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_Toc27449 </w:instrText>
          </w:r>
          <w:r>
            <w:rPr>
              <w:rFonts w:hint="eastAsia" w:ascii="宋体" w:hAnsi="宋体" w:eastAsia="宋体" w:cs="宋体"/>
              <w:szCs w:val="24"/>
            </w:rPr>
            <w:fldChar w:fldCharType="separate"/>
          </w:r>
          <w:r>
            <w:rPr>
              <w:rFonts w:hint="default"/>
              <w:lang w:val="en-US" w:eastAsia="zh-CN"/>
            </w:rPr>
            <w:t>4.3. 可用性分析、报告与改进</w:t>
          </w:r>
          <w:r>
            <w:tab/>
          </w:r>
          <w:r>
            <w:fldChar w:fldCharType="begin"/>
          </w:r>
          <w:r>
            <w:instrText xml:space="preserve"> PAGEREF _Toc27449 \h </w:instrText>
          </w:r>
          <w:r>
            <w:fldChar w:fldCharType="separate"/>
          </w:r>
          <w:r>
            <w:t>6</w:t>
          </w:r>
          <w:r>
            <w:fldChar w:fldCharType="end"/>
          </w:r>
          <w:r>
            <w:rPr>
              <w:rFonts w:hint="eastAsia" w:ascii="宋体" w:hAnsi="宋体" w:eastAsia="宋体" w:cs="宋体"/>
              <w:szCs w:val="24"/>
            </w:rPr>
            <w:fldChar w:fldCharType="end"/>
          </w:r>
        </w:p>
        <w:p w14:paraId="20834BE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_Toc11210 </w:instrText>
          </w:r>
          <w:r>
            <w:rPr>
              <w:rFonts w:hint="eastAsia" w:ascii="宋体" w:hAnsi="宋体" w:eastAsia="宋体" w:cs="宋体"/>
              <w:szCs w:val="24"/>
            </w:rPr>
            <w:fldChar w:fldCharType="separate"/>
          </w:r>
          <w:r>
            <w:rPr>
              <w:rFonts w:hint="default"/>
              <w:lang w:val="en-US" w:eastAsia="zh-CN"/>
            </w:rPr>
            <w:t>5. 服务连续性管理</w:t>
          </w:r>
          <w:r>
            <w:tab/>
          </w:r>
          <w:r>
            <w:fldChar w:fldCharType="begin"/>
          </w:r>
          <w:r>
            <w:instrText xml:space="preserve"> PAGEREF _Toc11210 \h </w:instrText>
          </w:r>
          <w:r>
            <w:fldChar w:fldCharType="separate"/>
          </w:r>
          <w:r>
            <w:t>6</w:t>
          </w:r>
          <w:r>
            <w:fldChar w:fldCharType="end"/>
          </w:r>
          <w:r>
            <w:rPr>
              <w:rFonts w:hint="eastAsia" w:ascii="宋体" w:hAnsi="宋体" w:eastAsia="宋体" w:cs="宋体"/>
              <w:szCs w:val="24"/>
            </w:rPr>
            <w:fldChar w:fldCharType="end"/>
          </w:r>
        </w:p>
        <w:p w14:paraId="6B61B80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_Toc6268 </w:instrText>
          </w:r>
          <w:r>
            <w:rPr>
              <w:rFonts w:hint="eastAsia" w:ascii="宋体" w:hAnsi="宋体" w:eastAsia="宋体" w:cs="宋体"/>
              <w:szCs w:val="24"/>
            </w:rPr>
            <w:fldChar w:fldCharType="separate"/>
          </w:r>
          <w:r>
            <w:rPr>
              <w:rFonts w:hint="default"/>
              <w:lang w:val="en-US" w:eastAsia="zh-CN"/>
            </w:rPr>
            <w:t>5.1. 业务影响分析</w:t>
          </w:r>
          <w:r>
            <w:tab/>
          </w:r>
          <w:r>
            <w:fldChar w:fldCharType="begin"/>
          </w:r>
          <w:r>
            <w:instrText xml:space="preserve"> PAGEREF _Toc6268 \h </w:instrText>
          </w:r>
          <w:r>
            <w:fldChar w:fldCharType="separate"/>
          </w:r>
          <w:r>
            <w:t>6</w:t>
          </w:r>
          <w:r>
            <w:fldChar w:fldCharType="end"/>
          </w:r>
          <w:r>
            <w:rPr>
              <w:rFonts w:hint="eastAsia" w:ascii="宋体" w:hAnsi="宋体" w:eastAsia="宋体" w:cs="宋体"/>
              <w:szCs w:val="24"/>
            </w:rPr>
            <w:fldChar w:fldCharType="end"/>
          </w:r>
        </w:p>
        <w:p w14:paraId="44D4966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_Toc23716 </w:instrText>
          </w:r>
          <w:r>
            <w:rPr>
              <w:rFonts w:hint="eastAsia" w:ascii="宋体" w:hAnsi="宋体" w:eastAsia="宋体" w:cs="宋体"/>
              <w:szCs w:val="24"/>
            </w:rPr>
            <w:fldChar w:fldCharType="separate"/>
          </w:r>
          <w:r>
            <w:rPr>
              <w:rFonts w:hint="default"/>
              <w:lang w:val="en-US" w:eastAsia="zh-CN"/>
            </w:rPr>
            <w:t>5.2. 连续性策略制定</w:t>
          </w:r>
          <w:r>
            <w:tab/>
          </w:r>
          <w:r>
            <w:fldChar w:fldCharType="begin"/>
          </w:r>
          <w:r>
            <w:instrText xml:space="preserve"> PAGEREF _Toc23716 \h </w:instrText>
          </w:r>
          <w:r>
            <w:fldChar w:fldCharType="separate"/>
          </w:r>
          <w:r>
            <w:t>6</w:t>
          </w:r>
          <w:r>
            <w:fldChar w:fldCharType="end"/>
          </w:r>
          <w:r>
            <w:rPr>
              <w:rFonts w:hint="eastAsia" w:ascii="宋体" w:hAnsi="宋体" w:eastAsia="宋体" w:cs="宋体"/>
              <w:szCs w:val="24"/>
            </w:rPr>
            <w:fldChar w:fldCharType="end"/>
          </w:r>
        </w:p>
        <w:p w14:paraId="0DBF5C4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_Toc28966 </w:instrText>
          </w:r>
          <w:r>
            <w:rPr>
              <w:rFonts w:hint="eastAsia" w:ascii="宋体" w:hAnsi="宋体" w:eastAsia="宋体" w:cs="宋体"/>
              <w:szCs w:val="24"/>
            </w:rPr>
            <w:fldChar w:fldCharType="separate"/>
          </w:r>
          <w:r>
            <w:rPr>
              <w:rFonts w:hint="default"/>
              <w:lang w:val="en-US" w:eastAsia="zh-CN"/>
            </w:rPr>
            <w:t>5.3. 应急预案编制与维护</w:t>
          </w:r>
          <w:r>
            <w:tab/>
          </w:r>
          <w:r>
            <w:fldChar w:fldCharType="begin"/>
          </w:r>
          <w:r>
            <w:instrText xml:space="preserve"> PAGEREF _Toc28966 \h </w:instrText>
          </w:r>
          <w:r>
            <w:fldChar w:fldCharType="separate"/>
          </w:r>
          <w:r>
            <w:t>6</w:t>
          </w:r>
          <w:r>
            <w:fldChar w:fldCharType="end"/>
          </w:r>
          <w:r>
            <w:rPr>
              <w:rFonts w:hint="eastAsia" w:ascii="宋体" w:hAnsi="宋体" w:eastAsia="宋体" w:cs="宋体"/>
              <w:szCs w:val="24"/>
            </w:rPr>
            <w:fldChar w:fldCharType="end"/>
          </w:r>
        </w:p>
        <w:p w14:paraId="43A41AF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_Toc20895 </w:instrText>
          </w:r>
          <w:r>
            <w:rPr>
              <w:rFonts w:hint="eastAsia" w:ascii="宋体" w:hAnsi="宋体" w:eastAsia="宋体" w:cs="宋体"/>
              <w:szCs w:val="24"/>
            </w:rPr>
            <w:fldChar w:fldCharType="separate"/>
          </w:r>
          <w:r>
            <w:rPr>
              <w:rFonts w:hint="default"/>
              <w:lang w:val="en-US" w:eastAsia="zh-CN"/>
            </w:rPr>
            <w:t>5.4. 演练、评估与改进</w:t>
          </w:r>
          <w:r>
            <w:tab/>
          </w:r>
          <w:r>
            <w:fldChar w:fldCharType="begin"/>
          </w:r>
          <w:r>
            <w:instrText xml:space="preserve"> PAGEREF _Toc20895 \h </w:instrText>
          </w:r>
          <w:r>
            <w:fldChar w:fldCharType="separate"/>
          </w:r>
          <w:r>
            <w:t>7</w:t>
          </w:r>
          <w:r>
            <w:fldChar w:fldCharType="end"/>
          </w:r>
          <w:r>
            <w:rPr>
              <w:rFonts w:hint="eastAsia" w:ascii="宋体" w:hAnsi="宋体" w:eastAsia="宋体" w:cs="宋体"/>
              <w:szCs w:val="24"/>
            </w:rPr>
            <w:fldChar w:fldCharType="end"/>
          </w:r>
        </w:p>
        <w:p w14:paraId="07A770D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_Toc21354 </w:instrText>
          </w:r>
          <w:r>
            <w:rPr>
              <w:rFonts w:hint="eastAsia" w:ascii="宋体" w:hAnsi="宋体" w:eastAsia="宋体" w:cs="宋体"/>
              <w:szCs w:val="24"/>
            </w:rPr>
            <w:fldChar w:fldCharType="separate"/>
          </w:r>
          <w:r>
            <w:rPr>
              <w:rFonts w:hint="default"/>
              <w:lang w:val="en-US" w:eastAsia="zh-CN"/>
            </w:rPr>
            <w:t>5.5. 应急响应与恢复</w:t>
          </w:r>
          <w:r>
            <w:tab/>
          </w:r>
          <w:r>
            <w:fldChar w:fldCharType="begin"/>
          </w:r>
          <w:r>
            <w:instrText xml:space="preserve"> PAGEREF _Toc21354 \h </w:instrText>
          </w:r>
          <w:r>
            <w:fldChar w:fldCharType="separate"/>
          </w:r>
          <w:r>
            <w:t>7</w:t>
          </w:r>
          <w:r>
            <w:fldChar w:fldCharType="end"/>
          </w:r>
          <w:r>
            <w:rPr>
              <w:rFonts w:hint="eastAsia" w:ascii="宋体" w:hAnsi="宋体" w:eastAsia="宋体" w:cs="宋体"/>
              <w:szCs w:val="24"/>
            </w:rPr>
            <w:fldChar w:fldCharType="end"/>
          </w:r>
        </w:p>
        <w:p w14:paraId="121E72E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_Toc11474 </w:instrText>
          </w:r>
          <w:r>
            <w:rPr>
              <w:rFonts w:hint="eastAsia" w:ascii="宋体" w:hAnsi="宋体" w:eastAsia="宋体" w:cs="宋体"/>
              <w:szCs w:val="24"/>
            </w:rPr>
            <w:fldChar w:fldCharType="separate"/>
          </w:r>
          <w:r>
            <w:rPr>
              <w:rFonts w:hint="default"/>
              <w:lang w:val="en-US" w:eastAsia="zh-CN"/>
            </w:rPr>
            <w:t>6. 与其他流程的接口</w:t>
          </w:r>
          <w:r>
            <w:tab/>
          </w:r>
          <w:r>
            <w:fldChar w:fldCharType="begin"/>
          </w:r>
          <w:r>
            <w:instrText xml:space="preserve"> PAGEREF _Toc11474 \h </w:instrText>
          </w:r>
          <w:r>
            <w:fldChar w:fldCharType="separate"/>
          </w:r>
          <w:r>
            <w:t>7</w:t>
          </w:r>
          <w:r>
            <w:fldChar w:fldCharType="end"/>
          </w:r>
          <w:r>
            <w:rPr>
              <w:rFonts w:hint="eastAsia" w:ascii="宋体" w:hAnsi="宋体" w:eastAsia="宋体" w:cs="宋体"/>
              <w:szCs w:val="24"/>
            </w:rPr>
            <w:fldChar w:fldCharType="end"/>
          </w:r>
        </w:p>
        <w:p w14:paraId="7A88C37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_Toc27373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考核指标</w:t>
          </w:r>
          <w:r>
            <w:tab/>
          </w:r>
          <w:r>
            <w:fldChar w:fldCharType="begin"/>
          </w:r>
          <w:r>
            <w:instrText xml:space="preserve"> PAGEREF _Toc27373 \h </w:instrText>
          </w:r>
          <w:r>
            <w:fldChar w:fldCharType="separate"/>
          </w:r>
          <w:r>
            <w:t>8</w:t>
          </w:r>
          <w:r>
            <w:fldChar w:fldCharType="end"/>
          </w:r>
          <w:r>
            <w:rPr>
              <w:rFonts w:hint="eastAsia" w:ascii="宋体" w:hAnsi="宋体" w:eastAsia="宋体" w:cs="宋体"/>
              <w:szCs w:val="24"/>
            </w:rPr>
            <w:fldChar w:fldCharType="end"/>
          </w:r>
        </w:p>
        <w:p w14:paraId="654FB92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_Toc23956 </w:instrText>
          </w:r>
          <w:r>
            <w:rPr>
              <w:rFonts w:hint="eastAsia" w:ascii="宋体" w:hAnsi="宋体" w:eastAsia="宋体" w:cs="宋体"/>
              <w:szCs w:val="24"/>
            </w:rPr>
            <w:fldChar w:fldCharType="separate"/>
          </w:r>
          <w:r>
            <w:rPr>
              <w:rFonts w:hint="default"/>
              <w:lang w:val="en-US" w:eastAsia="zh-CN"/>
            </w:rPr>
            <w:t>8. 附则</w:t>
          </w:r>
          <w:r>
            <w:tab/>
          </w:r>
          <w:r>
            <w:fldChar w:fldCharType="begin"/>
          </w:r>
          <w:r>
            <w:instrText xml:space="preserve"> PAGEREF _Toc23956 \h </w:instrText>
          </w:r>
          <w:r>
            <w:fldChar w:fldCharType="separate"/>
          </w:r>
          <w:r>
            <w:t>8</w:t>
          </w:r>
          <w:r>
            <w:fldChar w:fldCharType="end"/>
          </w:r>
          <w:r>
            <w:rPr>
              <w:rFonts w:hint="eastAsia" w:ascii="宋体" w:hAnsi="宋体" w:eastAsia="宋体" w:cs="宋体"/>
              <w:szCs w:val="24"/>
            </w:rPr>
            <w:fldChar w:fldCharType="end"/>
          </w:r>
        </w:p>
        <w:p w14:paraId="41C306E4">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11C606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687CDB0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25239"/>
      <w:r>
        <w:rPr>
          <w:rFonts w:hint="default"/>
          <w:lang w:val="en-US" w:eastAsia="zh-CN"/>
        </w:rPr>
        <w:t>总则</w:t>
      </w:r>
      <w:bookmarkEnd w:id="2"/>
    </w:p>
    <w:p w14:paraId="3915FBE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4504"/>
      <w:r>
        <w:rPr>
          <w:rFonts w:hint="default"/>
          <w:lang w:val="en-US" w:eastAsia="zh-CN"/>
        </w:rPr>
        <w:t>目的</w:t>
      </w:r>
      <w:bookmarkEnd w:id="3"/>
    </w:p>
    <w:p w14:paraId="6E91AE0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为确保公司提供的软件运维服务能够达成并维持与客户约定的可用性水平，并在发生重大中断时能迅速、有效地恢复服务，最大限度降低对客户业务的影响，保障服务的可靠性与韧性，特制定本制度。</w:t>
      </w:r>
    </w:p>
    <w:p w14:paraId="5DAA28C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1481"/>
      <w:r>
        <w:rPr>
          <w:rFonts w:hint="default"/>
          <w:lang w:val="en-US" w:eastAsia="zh-CN"/>
        </w:rPr>
        <w:t>适用范围</w:t>
      </w:r>
      <w:bookmarkEnd w:id="4"/>
    </w:p>
    <w:p w14:paraId="6FCC79D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本制度适用于公司所有软件运维服务项目，涵盖从服务可用性目标管理、日常监控到服务连续性计划制定、演练及应急响应的全过程。</w:t>
      </w:r>
    </w:p>
    <w:p w14:paraId="48C5507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9902"/>
      <w:r>
        <w:rPr>
          <w:rFonts w:hint="default"/>
          <w:lang w:val="en-US" w:eastAsia="zh-CN"/>
        </w:rPr>
        <w:t>原则</w:t>
      </w:r>
      <w:bookmarkEnd w:id="5"/>
    </w:p>
    <w:p w14:paraId="473C493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业务驱动：可用性目标与连续性策略必须基于客户的业务关键性和影响分析。</w:t>
      </w:r>
    </w:p>
    <w:p w14:paraId="37878C1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预防为主：通过主动监控、容量规划和风险控制，预防服务中断。</w:t>
      </w:r>
    </w:p>
    <w:p w14:paraId="658A8A1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明确分级：根据服务组件的重要性和恢复优先级，实施差异化的管理策略。</w:t>
      </w:r>
    </w:p>
    <w:p w14:paraId="6310863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持续验证：定期通过演练和测试验证连续性计划的有效性和可行性。</w:t>
      </w:r>
    </w:p>
    <w:p w14:paraId="56D34DC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闭环管理：建立从设计、实施、监控到评审、改进的完整管理闭环。</w:t>
      </w:r>
    </w:p>
    <w:p w14:paraId="4562965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6436"/>
      <w:r>
        <w:rPr>
          <w:rFonts w:hint="default"/>
          <w:lang w:val="en-US" w:eastAsia="zh-CN"/>
        </w:rPr>
        <w:t>定义与术语</w:t>
      </w:r>
      <w:bookmarkEnd w:id="6"/>
    </w:p>
    <w:p w14:paraId="320DFAC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服务可用性：在约定的服务时间内，服务组件或服务处于可运行状态的比例。通常以百分比表示。</w:t>
      </w:r>
    </w:p>
    <w:p w14:paraId="138DA3C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服务连续性：组织为确保在发生重大服务中断或灾难后，能在可接受的时间内恢复关键业务功能而采取的一系列策略和行动。</w:t>
      </w:r>
    </w:p>
    <w:p w14:paraId="5BDC763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业务影响分析：识别关键业务功能、评估中断对这些功能造成的潜在影响以及确定恢复优先级和时限要求的过程。</w:t>
      </w:r>
    </w:p>
    <w:p w14:paraId="151A13C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恢复时间目标：业务功能或服务在中断后必须恢复的最长时间。</w:t>
      </w:r>
    </w:p>
    <w:p w14:paraId="3972830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恢复点目标：业务功能或服务可容忍的最大数据丢失量（时间点）。</w:t>
      </w:r>
    </w:p>
    <w:p w14:paraId="10A7DAC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2723"/>
      <w:r>
        <w:rPr>
          <w:rFonts w:hint="default"/>
          <w:lang w:val="en-US" w:eastAsia="zh-CN"/>
        </w:rPr>
        <w:t>角色与职责</w:t>
      </w:r>
      <w:bookmarkEnd w:id="7"/>
    </w:p>
    <w:tbl>
      <w:tblPr>
        <w:tblStyle w:val="20"/>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35"/>
        <w:gridCol w:w="4320"/>
        <w:gridCol w:w="2369"/>
      </w:tblGrid>
      <w:tr w14:paraId="1D9C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2335" w:type="dxa"/>
            <w:shd w:val="clear" w:color="auto" w:fill="auto"/>
            <w:tcMar>
              <w:top w:w="120" w:type="dxa"/>
              <w:left w:w="0" w:type="dxa"/>
              <w:bottom w:w="120" w:type="dxa"/>
              <w:right w:w="192" w:type="dxa"/>
            </w:tcMar>
            <w:vAlign w:val="center"/>
          </w:tcPr>
          <w:p w14:paraId="0D203AC3">
            <w:pPr>
              <w:keepNext w:val="0"/>
              <w:keepLines w:val="0"/>
              <w:widowControl/>
              <w:suppressLineNumbers w:val="0"/>
              <w:spacing w:line="300" w:lineRule="atLeast"/>
              <w:ind w:left="0" w:leftChars="0" w:right="0" w:rightChars="0" w:firstLine="0" w:firstLineChars="0"/>
              <w:jc w:val="center"/>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角色</w:t>
            </w:r>
          </w:p>
        </w:tc>
        <w:tc>
          <w:tcPr>
            <w:tcW w:w="4320" w:type="dxa"/>
            <w:shd w:val="clear" w:color="auto" w:fill="auto"/>
            <w:tcMar>
              <w:top w:w="120" w:type="dxa"/>
              <w:left w:w="192" w:type="dxa"/>
              <w:bottom w:w="120" w:type="dxa"/>
              <w:right w:w="192" w:type="dxa"/>
            </w:tcMar>
            <w:vAlign w:val="center"/>
          </w:tcPr>
          <w:p w14:paraId="0125B3BB">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主要职责</w:t>
            </w:r>
          </w:p>
        </w:tc>
        <w:tc>
          <w:tcPr>
            <w:tcW w:w="2369" w:type="dxa"/>
            <w:shd w:val="clear" w:color="auto" w:fill="auto"/>
            <w:tcMar>
              <w:top w:w="120" w:type="dxa"/>
              <w:left w:w="192" w:type="dxa"/>
              <w:bottom w:w="120" w:type="dxa"/>
              <w:right w:w="192" w:type="dxa"/>
            </w:tcMar>
            <w:vAlign w:val="center"/>
          </w:tcPr>
          <w:p w14:paraId="186F84E6">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对应岗位</w:t>
            </w:r>
          </w:p>
        </w:tc>
      </w:tr>
      <w:tr w14:paraId="558B9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6F8EEBC6">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服务连续性负责人</w:t>
            </w:r>
          </w:p>
        </w:tc>
        <w:tc>
          <w:tcPr>
            <w:tcW w:w="4320" w:type="dxa"/>
            <w:shd w:val="clear" w:color="auto" w:fill="auto"/>
            <w:tcMar>
              <w:top w:w="120" w:type="dxa"/>
              <w:left w:w="192" w:type="dxa"/>
              <w:bottom w:w="120" w:type="dxa"/>
              <w:right w:w="192" w:type="dxa"/>
            </w:tcMar>
            <w:vAlign w:val="center"/>
          </w:tcPr>
          <w:p w14:paraId="7A0D505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负责公司级服务连续性管理体系的建立与维护。</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审批重大连续性策略及预案。</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在重大事件中担任应急指挥决策者。</w:t>
            </w:r>
          </w:p>
        </w:tc>
        <w:tc>
          <w:tcPr>
            <w:tcW w:w="2369" w:type="dxa"/>
            <w:shd w:val="clear" w:color="auto" w:fill="auto"/>
            <w:tcMar>
              <w:top w:w="120" w:type="dxa"/>
              <w:left w:w="192" w:type="dxa"/>
              <w:bottom w:w="120" w:type="dxa"/>
              <w:right w:w="0" w:type="dxa"/>
            </w:tcMar>
            <w:vAlign w:val="center"/>
          </w:tcPr>
          <w:p w14:paraId="6BB0598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应急管理部负责人</w:t>
            </w:r>
          </w:p>
        </w:tc>
      </w:tr>
      <w:tr w14:paraId="6D10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503D00A4">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可用性及连续性管理经理</w:t>
            </w:r>
          </w:p>
        </w:tc>
        <w:tc>
          <w:tcPr>
            <w:tcW w:w="4320" w:type="dxa"/>
            <w:shd w:val="clear" w:color="auto" w:fill="auto"/>
            <w:tcMar>
              <w:top w:w="120" w:type="dxa"/>
              <w:left w:w="192" w:type="dxa"/>
              <w:bottom w:w="120" w:type="dxa"/>
              <w:right w:w="192" w:type="dxa"/>
            </w:tcMar>
            <w:vAlign w:val="center"/>
          </w:tcPr>
          <w:p w14:paraId="074AD2E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负责本制度的推行与日常管理。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组织业务影响分析、连续性策略制定与预案评审3. 协调组织跨部门连续性演练。</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监控与分析服务可用性数据，推动改进。</w:t>
            </w:r>
          </w:p>
        </w:tc>
        <w:tc>
          <w:tcPr>
            <w:tcW w:w="2369" w:type="dxa"/>
            <w:shd w:val="clear" w:color="auto" w:fill="auto"/>
            <w:tcMar>
              <w:top w:w="120" w:type="dxa"/>
              <w:left w:w="192" w:type="dxa"/>
              <w:bottom w:w="120" w:type="dxa"/>
              <w:right w:w="0" w:type="dxa"/>
            </w:tcMar>
            <w:vAlign w:val="center"/>
          </w:tcPr>
          <w:p w14:paraId="4A8C5B3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数智运营部经理</w:t>
            </w:r>
          </w:p>
        </w:tc>
      </w:tr>
      <w:tr w14:paraId="1AC89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0E64AAB2">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运维项目经理</w:t>
            </w:r>
          </w:p>
        </w:tc>
        <w:tc>
          <w:tcPr>
            <w:tcW w:w="4320" w:type="dxa"/>
            <w:shd w:val="clear" w:color="auto" w:fill="auto"/>
            <w:tcMar>
              <w:top w:w="120" w:type="dxa"/>
              <w:left w:w="192" w:type="dxa"/>
              <w:bottom w:w="120" w:type="dxa"/>
              <w:right w:w="192" w:type="dxa"/>
            </w:tcMar>
            <w:vAlign w:val="center"/>
          </w:tcPr>
          <w:p w14:paraId="30121FA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负责项目内服务可用性目标的达成与监控。</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负责编制和维护所辖服务的《业务连续性预案》</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在应急响应中，作为现场恢复指挥官。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参与演练并落实改进措施。</w:t>
            </w:r>
          </w:p>
        </w:tc>
        <w:tc>
          <w:tcPr>
            <w:tcW w:w="2369" w:type="dxa"/>
            <w:shd w:val="clear" w:color="auto" w:fill="auto"/>
            <w:tcMar>
              <w:top w:w="120" w:type="dxa"/>
              <w:left w:w="192" w:type="dxa"/>
              <w:bottom w:w="120" w:type="dxa"/>
              <w:right w:w="0" w:type="dxa"/>
            </w:tcMar>
            <w:vAlign w:val="center"/>
          </w:tcPr>
          <w:p w14:paraId="08FA875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数智运营部-运维项目经理</w:t>
            </w:r>
          </w:p>
        </w:tc>
      </w:tr>
      <w:tr w14:paraId="72282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60DD46D0">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运维工程师</w:t>
            </w:r>
          </w:p>
        </w:tc>
        <w:tc>
          <w:tcPr>
            <w:tcW w:w="4320" w:type="dxa"/>
            <w:shd w:val="clear" w:color="auto" w:fill="auto"/>
            <w:tcMar>
              <w:top w:w="120" w:type="dxa"/>
              <w:left w:w="192" w:type="dxa"/>
              <w:bottom w:w="120" w:type="dxa"/>
              <w:right w:w="192" w:type="dxa"/>
            </w:tcMar>
            <w:vAlign w:val="center"/>
          </w:tcPr>
          <w:p w14:paraId="5A77A16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执行具体的可用性监控、容量检查任务。</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负责技术层面应急预案的具体实施与恢复操作。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参与演练，提供技术反馈。</w:t>
            </w:r>
          </w:p>
        </w:tc>
        <w:tc>
          <w:tcPr>
            <w:tcW w:w="2369" w:type="dxa"/>
            <w:shd w:val="clear" w:color="auto" w:fill="auto"/>
            <w:tcMar>
              <w:top w:w="120" w:type="dxa"/>
              <w:left w:w="192" w:type="dxa"/>
              <w:bottom w:w="120" w:type="dxa"/>
              <w:right w:w="0" w:type="dxa"/>
            </w:tcMar>
            <w:vAlign w:val="center"/>
          </w:tcPr>
          <w:p w14:paraId="7906C25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数智运营部-运维工程师</w:t>
            </w:r>
          </w:p>
        </w:tc>
      </w:tr>
      <w:tr w14:paraId="5B959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51A280AD">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研究总院</w:t>
            </w:r>
          </w:p>
        </w:tc>
        <w:tc>
          <w:tcPr>
            <w:tcW w:w="4320" w:type="dxa"/>
            <w:shd w:val="clear" w:color="auto" w:fill="auto"/>
            <w:tcMar>
              <w:top w:w="120" w:type="dxa"/>
              <w:left w:w="192" w:type="dxa"/>
              <w:bottom w:w="120" w:type="dxa"/>
              <w:right w:w="192" w:type="dxa"/>
            </w:tcMar>
            <w:vAlign w:val="center"/>
          </w:tcPr>
          <w:p w14:paraId="7668BFE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为高可用架构设计、数据备份与恢复方案提供技术支持。</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协助进行灾难恢复场景下的技术方案验证。</w:t>
            </w:r>
          </w:p>
        </w:tc>
        <w:tc>
          <w:tcPr>
            <w:tcW w:w="2369" w:type="dxa"/>
            <w:shd w:val="clear" w:color="auto" w:fill="auto"/>
            <w:tcMar>
              <w:top w:w="120" w:type="dxa"/>
              <w:left w:w="192" w:type="dxa"/>
              <w:bottom w:w="120" w:type="dxa"/>
              <w:right w:w="0" w:type="dxa"/>
            </w:tcMar>
            <w:vAlign w:val="center"/>
          </w:tcPr>
          <w:p w14:paraId="35B28B7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研究总院-开发/测试工程师</w:t>
            </w:r>
          </w:p>
        </w:tc>
      </w:tr>
      <w:tr w14:paraId="76C8D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shd w:val="clear" w:color="auto" w:fill="auto"/>
            <w:tcMar>
              <w:top w:w="120" w:type="dxa"/>
              <w:left w:w="0" w:type="dxa"/>
              <w:bottom w:w="120" w:type="dxa"/>
              <w:right w:w="192" w:type="dxa"/>
            </w:tcMar>
            <w:vAlign w:val="center"/>
          </w:tcPr>
          <w:p w14:paraId="2F3D21FE">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质量管理部</w:t>
            </w:r>
          </w:p>
        </w:tc>
        <w:tc>
          <w:tcPr>
            <w:tcW w:w="4320" w:type="dxa"/>
            <w:shd w:val="clear" w:color="auto" w:fill="auto"/>
            <w:tcMar>
              <w:top w:w="120" w:type="dxa"/>
              <w:left w:w="192" w:type="dxa"/>
              <w:bottom w:w="120" w:type="dxa"/>
              <w:right w:w="192" w:type="dxa"/>
            </w:tcMar>
            <w:vAlign w:val="center"/>
          </w:tcPr>
          <w:p w14:paraId="77FC032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监督本制度执行情况，审计可用性数据与演练记录。</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参与连续性预案的评审。</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将可用性指标纳入质量报告。</w:t>
            </w:r>
          </w:p>
        </w:tc>
        <w:tc>
          <w:tcPr>
            <w:tcW w:w="2369" w:type="dxa"/>
            <w:shd w:val="clear" w:color="auto" w:fill="auto"/>
            <w:tcMar>
              <w:top w:w="120" w:type="dxa"/>
              <w:left w:w="192" w:type="dxa"/>
              <w:bottom w:w="120" w:type="dxa"/>
              <w:right w:w="0" w:type="dxa"/>
            </w:tcMar>
            <w:vAlign w:val="center"/>
          </w:tcPr>
          <w:p w14:paraId="760AFE4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质量管理部经理/专员</w:t>
            </w:r>
          </w:p>
        </w:tc>
      </w:tr>
    </w:tbl>
    <w:p w14:paraId="172B139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3825"/>
      <w:r>
        <w:rPr>
          <w:rFonts w:hint="default"/>
          <w:lang w:val="en-US" w:eastAsia="zh-CN"/>
        </w:rPr>
        <w:t>服务可用性管理</w:t>
      </w:r>
      <w:bookmarkEnd w:id="8"/>
    </w:p>
    <w:p w14:paraId="610D99B8">
      <w:pPr>
        <w:pStyle w:val="30"/>
        <w:bidi w:val="0"/>
        <w:rPr>
          <w:rFonts w:hint="default"/>
          <w:lang w:val="en-US" w:eastAsia="zh-CN"/>
        </w:rPr>
      </w:pPr>
      <w:bookmarkStart w:id="21" w:name="_GoBack"/>
      <w:bookmarkEnd w:id="21"/>
      <w:bookmarkStart w:id="9" w:name="_Toc23673"/>
      <w:r>
        <w:rPr>
          <w:rFonts w:hint="default"/>
          <w:lang w:val="en-US" w:eastAsia="zh-CN"/>
        </w:rPr>
        <w:t>可用性目标设定与协商</w:t>
      </w:r>
      <w:bookmarkEnd w:id="9"/>
    </w:p>
    <w:p w14:paraId="2232D84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运维项目经理在与客户签订《服务级别协议》时，须依据《服务级别管理制度》，明确协商并定义可量化的服务可用性目标。</w:t>
      </w:r>
    </w:p>
    <w:p w14:paraId="101C884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目标应分解至关键服务组件（如核心应用、数据库、API接口等），并考虑计划内维护时间的影响。</w:t>
      </w:r>
    </w:p>
    <w:p w14:paraId="3BE07A3D">
      <w:pPr>
        <w:pStyle w:val="30"/>
        <w:bidi w:val="0"/>
        <w:rPr>
          <w:rFonts w:hint="default"/>
          <w:lang w:val="en-US" w:eastAsia="zh-CN"/>
        </w:rPr>
      </w:pPr>
      <w:bookmarkStart w:id="10" w:name="_Toc30234"/>
      <w:r>
        <w:rPr>
          <w:rFonts w:hint="default"/>
          <w:lang w:val="en-US" w:eastAsia="zh-CN"/>
        </w:rPr>
        <w:t>可用性监控与测量</w:t>
      </w:r>
      <w:bookmarkEnd w:id="10"/>
    </w:p>
    <w:p w14:paraId="3B1057F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数智运营部应建立统一的监控平台，对达成SLA所需的核心服务组件进行7x24小时可用性状态监控。</w:t>
      </w:r>
    </w:p>
    <w:p w14:paraId="29750BE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测量方法必须明确定义，并确保监控数据准确、不可篡改。</w:t>
      </w:r>
    </w:p>
    <w:p w14:paraId="282600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所有导致服务不可用的事件（无论是否在SLA约束内），均需通过《事件管理制度》记录，作为可用性计算的基础。</w:t>
      </w:r>
    </w:p>
    <w:p w14:paraId="66D71367">
      <w:pPr>
        <w:pStyle w:val="30"/>
        <w:bidi w:val="0"/>
        <w:rPr>
          <w:rFonts w:hint="default"/>
          <w:lang w:val="en-US" w:eastAsia="zh-CN"/>
        </w:rPr>
      </w:pPr>
      <w:bookmarkStart w:id="11" w:name="_Toc27449"/>
      <w:r>
        <w:rPr>
          <w:rFonts w:hint="default"/>
          <w:lang w:val="en-US" w:eastAsia="zh-CN"/>
        </w:rPr>
        <w:t>可用性分析、报告与改进</w:t>
      </w:r>
      <w:bookmarkEnd w:id="11"/>
    </w:p>
    <w:p w14:paraId="45F767A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运维项目经理须在《服务报告》中定期（按月/季度）向客户和管理层报告可用性目标的达成情况。</w:t>
      </w:r>
    </w:p>
    <w:p w14:paraId="54AE7F4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对未达成目标的情况，必须依据《问题管理制度》进行根因分析，并制定明确的改进措施。</w:t>
      </w:r>
    </w:p>
    <w:p w14:paraId="5F58E2D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通过趋势分析，预测潜在风险，并提前启动《变更管理》或《容量管理》流程进行优化。</w:t>
      </w:r>
    </w:p>
    <w:p w14:paraId="5D3926F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1210"/>
      <w:r>
        <w:rPr>
          <w:rFonts w:hint="default"/>
          <w:lang w:val="en-US" w:eastAsia="zh-CN"/>
        </w:rPr>
        <w:t>服务连续性管理</w:t>
      </w:r>
      <w:bookmarkEnd w:id="12"/>
    </w:p>
    <w:p w14:paraId="78AE6A4B">
      <w:pPr>
        <w:pStyle w:val="30"/>
        <w:bidi w:val="0"/>
        <w:rPr>
          <w:rFonts w:hint="default"/>
          <w:lang w:val="en-US" w:eastAsia="zh-CN"/>
        </w:rPr>
      </w:pPr>
      <w:bookmarkStart w:id="13" w:name="_Toc6268"/>
      <w:r>
        <w:rPr>
          <w:rFonts w:hint="default"/>
          <w:lang w:val="en-US" w:eastAsia="zh-CN"/>
        </w:rPr>
        <w:t>业务影响分析</w:t>
      </w:r>
      <w:bookmarkEnd w:id="13"/>
    </w:p>
    <w:p w14:paraId="681F290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针对核心服务项目，运维项目经理应至少每年组织一次业务影响分析，识别关键业务功能、最大可容忍中断时间及数据丢失量。</w:t>
      </w:r>
    </w:p>
    <w:p w14:paraId="775A09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BIA输出是制定连续性策略和恢复优先级的核心依据。</w:t>
      </w:r>
    </w:p>
    <w:p w14:paraId="2DD393AE">
      <w:pPr>
        <w:pStyle w:val="30"/>
        <w:bidi w:val="0"/>
        <w:rPr>
          <w:rFonts w:hint="default"/>
          <w:lang w:val="en-US" w:eastAsia="zh-CN"/>
        </w:rPr>
      </w:pPr>
      <w:bookmarkStart w:id="14" w:name="_Toc23716"/>
      <w:r>
        <w:rPr>
          <w:rFonts w:hint="default"/>
          <w:lang w:val="en-US" w:eastAsia="zh-CN"/>
        </w:rPr>
        <w:t>连续性策略制定</w:t>
      </w:r>
      <w:bookmarkEnd w:id="14"/>
    </w:p>
    <w:p w14:paraId="2B1ACB3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基于BIA结果，制定恢复策略，可能包括：</w:t>
      </w:r>
    </w:p>
    <w:p w14:paraId="4DBC99F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数据备份与恢复策略：明确备份频率、介质、存储位置和恢复验证要求。</w:t>
      </w:r>
    </w:p>
    <w:p w14:paraId="00A6DAC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系统冗余与高可用策略：对于RTO要求极短的服务，应考虑集群、负载均衡、异地多活等技术方案。</w:t>
      </w:r>
    </w:p>
    <w:p w14:paraId="5C75E72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备用站点策略：明确在主要场地失效时，启用备用工作场所或云环境的流程。</w:t>
      </w:r>
    </w:p>
    <w:p w14:paraId="46473311">
      <w:pPr>
        <w:pStyle w:val="30"/>
        <w:bidi w:val="0"/>
        <w:rPr>
          <w:rFonts w:hint="default"/>
          <w:lang w:val="en-US" w:eastAsia="zh-CN"/>
        </w:rPr>
      </w:pPr>
      <w:bookmarkStart w:id="15" w:name="_Toc28966"/>
      <w:r>
        <w:rPr>
          <w:rFonts w:hint="default"/>
          <w:lang w:val="en-US" w:eastAsia="zh-CN"/>
        </w:rPr>
        <w:t>应急预案编制与维护</w:t>
      </w:r>
      <w:bookmarkEnd w:id="15"/>
    </w:p>
    <w:p w14:paraId="60D1EDF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运维项目经理负责牵头编制《服务连续性应急预案》，内容需包括：应急组织架构、启动条件、通信计划、详细的恢复步骤、回退方案等。</w:t>
      </w:r>
    </w:p>
    <w:p w14:paraId="63508E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预案需经可用性及连续性管理经理组织评审，并报服务连续性负责人批准。</w:t>
      </w:r>
    </w:p>
    <w:p w14:paraId="53741AF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预案必须保持更新，任何可能影响预案有效性的《变更》实施后，都应评估并更新预案。</w:t>
      </w:r>
    </w:p>
    <w:p w14:paraId="5CB38830">
      <w:pPr>
        <w:pStyle w:val="30"/>
        <w:bidi w:val="0"/>
        <w:rPr>
          <w:rFonts w:hint="default"/>
          <w:lang w:val="en-US" w:eastAsia="zh-CN"/>
        </w:rPr>
      </w:pPr>
      <w:bookmarkStart w:id="16" w:name="_Toc20895"/>
      <w:r>
        <w:rPr>
          <w:rFonts w:hint="default"/>
          <w:lang w:val="en-US" w:eastAsia="zh-CN"/>
        </w:rPr>
        <w:t>演练、评估与改进</w:t>
      </w:r>
      <w:bookmarkEnd w:id="16"/>
    </w:p>
    <w:p w14:paraId="7520AB9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数智运营部应至少每年为每项核心服务组织一次应急预案演练。演练形式可为桌面推演或模拟实战。</w:t>
      </w:r>
    </w:p>
    <w:p w14:paraId="184EBF4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演练后必须进行复盘，依据《问题管理制度》分析演练中暴露的缺陷，更新预案并落实改进措施。</w:t>
      </w:r>
    </w:p>
    <w:p w14:paraId="2F21D7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演练记录和评估报告由质量管理部归档审计。</w:t>
      </w:r>
    </w:p>
    <w:p w14:paraId="7E902C8B">
      <w:pPr>
        <w:pStyle w:val="30"/>
        <w:bidi w:val="0"/>
        <w:rPr>
          <w:rFonts w:hint="default"/>
          <w:lang w:val="en-US" w:eastAsia="zh-CN"/>
        </w:rPr>
      </w:pPr>
      <w:bookmarkStart w:id="17" w:name="_Toc21354"/>
      <w:r>
        <w:rPr>
          <w:rFonts w:hint="default"/>
          <w:lang w:val="en-US" w:eastAsia="zh-CN"/>
        </w:rPr>
        <w:t>应急响应与恢复</w:t>
      </w:r>
      <w:bookmarkEnd w:id="17"/>
    </w:p>
    <w:p w14:paraId="5BA9760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当发生符合预案启动条件的重大中断时，立即依据《事件管理制度》启动应急响应。</w:t>
      </w:r>
    </w:p>
    <w:p w14:paraId="29AA1C0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应急指挥体系按预案运作，首要目标是按照RTO/RPO要求恢复关键服务。</w:t>
      </w:r>
    </w:p>
    <w:p w14:paraId="24168B0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恢复后，须进行事后评审，完善预案。</w:t>
      </w:r>
    </w:p>
    <w:p w14:paraId="1783578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11474"/>
      <w:r>
        <w:rPr>
          <w:rFonts w:hint="default"/>
          <w:lang w:val="en-US" w:eastAsia="zh-CN"/>
        </w:rPr>
        <w:t>与其他流程的接口</w:t>
      </w:r>
      <w:bookmarkEnd w:id="18"/>
    </w:p>
    <w:p w14:paraId="7791CD3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服务级别管理：为可用性管理提供目标输入，为连续性管理提供RTO/RPO要求。</w:t>
      </w:r>
    </w:p>
    <w:p w14:paraId="5AD7C86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事件管理：是服务中断的感知和应急响应的触发入口。</w:t>
      </w:r>
    </w:p>
    <w:p w14:paraId="257D331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问题管理：对导致可用性不足的重复性或重大事件进行根因分析，驱动架构改进。</w:t>
      </w:r>
    </w:p>
    <w:p w14:paraId="658E99D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变更管理：任何可能影响服务可用性或连续性能力的变更，必须经过严格评估和审批。</w:t>
      </w:r>
    </w:p>
    <w:p w14:paraId="6E8CDC0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容量管理：确保有足够的资源冗余以支持连续性策略和高可用性目标。</w:t>
      </w:r>
    </w:p>
    <w:p w14:paraId="43AAD47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配置管理：CMDB提供准确的资产关系图，是影响分析和恢复步骤制定的基础。</w:t>
      </w:r>
    </w:p>
    <w:p w14:paraId="626A0ED6">
      <w:pPr>
        <w:rPr>
          <w:rFonts w:hint="eastAsia"/>
          <w:lang w:val="en-US" w:eastAsia="zh-CN"/>
        </w:rPr>
      </w:pPr>
      <w:r>
        <w:rPr>
          <w:rFonts w:hint="eastAsia"/>
          <w:lang w:val="en-US" w:eastAsia="zh-CN"/>
        </w:rPr>
        <w:br w:type="page"/>
      </w:r>
    </w:p>
    <w:p w14:paraId="42FE522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27373"/>
      <w:r>
        <w:rPr>
          <w:rFonts w:hint="eastAsia"/>
          <w:lang w:val="en-US" w:eastAsia="zh-CN"/>
        </w:rPr>
        <w:t>考核指标</w:t>
      </w:r>
      <w:bookmarkEnd w:id="19"/>
    </w:p>
    <w:tbl>
      <w:tblPr>
        <w:tblStyle w:val="20"/>
        <w:tblW w:w="76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63"/>
        <w:gridCol w:w="1356"/>
        <w:gridCol w:w="3300"/>
        <w:gridCol w:w="1056"/>
      </w:tblGrid>
      <w:tr w14:paraId="269D0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963"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616FF52">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135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26586006">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3300"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1CB611A4">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105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711DD87C">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2966A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067707">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服务可用率</w:t>
            </w:r>
          </w:p>
        </w:tc>
        <w:tc>
          <w:tcPr>
            <w:tcW w:w="13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3B4BE7">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≥90%</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81ABFB">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服务实际可用时间/服务计划可用时间*100%</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388F4">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月度</w:t>
            </w:r>
          </w:p>
        </w:tc>
      </w:tr>
      <w:tr w14:paraId="51AE8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4FDE30">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服务故障中断次数</w:t>
            </w:r>
          </w:p>
        </w:tc>
        <w:tc>
          <w:tcPr>
            <w:tcW w:w="13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F13FCE">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≤1次</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68139D">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数量，因服务故障导致的服务中断次数</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6AAB3">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月度</w:t>
            </w:r>
          </w:p>
        </w:tc>
      </w:tr>
    </w:tbl>
    <w:p w14:paraId="58E2E4A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23956"/>
      <w:r>
        <w:rPr>
          <w:rFonts w:hint="default"/>
          <w:lang w:val="en-US" w:eastAsia="zh-CN"/>
        </w:rPr>
        <w:t>附则</w:t>
      </w:r>
      <w:bookmarkEnd w:id="20"/>
    </w:p>
    <w:p w14:paraId="1DAECE5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本制度由数智运营部负责解释与修订。</w:t>
      </w:r>
    </w:p>
    <w:p w14:paraId="79F306D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本制度自发布之日起生效。</w:t>
      </w:r>
    </w:p>
    <w:p w14:paraId="015E67C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本制度涉及的《业务影响分析报告》、《服务连续性应急预案》等模板，由数智运营部会同应急管理部制定与维护。</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F531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6A27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2461</Words>
  <Characters>2613</Characters>
  <Lines>0</Lines>
  <Paragraphs>0</Paragraphs>
  <TotalTime>0</TotalTime>
  <ScaleCrop>false</ScaleCrop>
  <LinksUpToDate>false</LinksUpToDate>
  <CharactersWithSpaces>2714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2026-02-04T16:15:36Z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