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5097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-34290</wp:posOffset>
            </wp:positionH>
            <wp:positionV relativeFrom="paragraph">
              <wp:posOffset>-45085</wp:posOffset>
            </wp:positionV>
            <wp:extent cx="5304790" cy="8893810"/>
            <wp:effectExtent l="0" t="0" r="13970" b="635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456"/>
      <w:r>
        <w:rPr>
          <w:rFonts w:hint="eastAsia"/>
          <w:lang w:val="en-US" w:eastAsia="zh-CN"/>
        </w:rPr>
        <w:t>翔云系统运维服务项目过程量化指标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13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数智运营部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214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>
        <w:tblPrEx>
          <w:tblW w:w="8214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eastAsia="宋体" w:hAnsi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徐超超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_Toc25097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_Toc25097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_Toc456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翔云系统运维服务项目过程量化指标</w:t>
          </w:r>
          <w:r>
            <w:tab/>
          </w:r>
          <w:r>
            <w:fldChar w:fldCharType="begin"/>
          </w:r>
          <w:r>
            <w:instrText xml:space="preserve"> PAGEREF _Toc456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sectPr>
          <w:headerReference w:type="default" r:id="rId7"/>
          <w:pgSz w:w="11906" w:h="16838"/>
          <w:pgMar w:top="1417" w:right="1800" w:bottom="1440" w:left="1800" w:header="1140" w:footer="992" w:gutter="0"/>
          <w:cols w:num="1" w:space="425"/>
          <w:docGrid w:type="lines" w:linePitch="312" w:charSpace="0"/>
        </w:sect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tbl>
      <w:tblPr>
        <w:tblStyle w:val="TableNormal"/>
        <w:tblW w:w="14197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"/>
        <w:gridCol w:w="636"/>
        <w:gridCol w:w="1259"/>
        <w:gridCol w:w="2282"/>
        <w:gridCol w:w="965"/>
        <w:gridCol w:w="6292"/>
        <w:gridCol w:w="1047"/>
        <w:gridCol w:w="1280"/>
      </w:tblGrid>
      <w:tr>
        <w:tblPrEx>
          <w:tblW w:w="14197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/>
          <w:tblHeader/>
          <w:jc w:val="center"/>
        </w:trPr>
        <w:tc>
          <w:tcPr>
            <w:tcW w:w="141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2"/>
                <w:u w:val="no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auto" w:fill="auto"/>
                <w:lang w:val="en-US" w:eastAsia="zh-CN"/>
              </w:rPr>
              <w:t>翔云系统运维服务项目过程量化指标</w:t>
            </w:r>
          </w:p>
        </w:tc>
      </w:tr>
      <w:tr>
        <w:tblPrEx>
          <w:tblW w:w="14197" w:type="dxa"/>
          <w:jc w:val="center"/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43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C0C0C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2"/>
                <w:u w:val="none"/>
                <w:lang w:val="en-US" w:eastAsia="zh-CN"/>
              </w:rPr>
              <w:t>编号</w:t>
            </w:r>
          </w:p>
        </w:tc>
        <w:tc>
          <w:tcPr>
            <w:tcW w:w="1895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楷体_GB2312"/>
                <w:b/>
                <w:bCs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ascii="宋体" w:eastAsia="宋体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2"/>
                <w:u w:val="none"/>
                <w:lang w:val="en-US" w:eastAsia="zh-CN"/>
              </w:rPr>
              <w:t>名称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楷体_GB2312" w:hint="default"/>
                <w:b/>
                <w:bCs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ascii="宋体" w:eastAsia="宋体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2"/>
                <w:u w:val="none"/>
                <w:lang w:val="en-US" w:eastAsia="zh-CN"/>
              </w:rPr>
              <w:t>KPI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楷体_GB2312" w:hint="default"/>
                <w:b/>
                <w:bCs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ascii="宋体" w:eastAsia="宋体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2"/>
                <w:u w:val="none"/>
                <w:lang w:val="en-US" w:eastAsia="zh-CN"/>
              </w:rPr>
              <w:t>目标值</w:t>
            </w:r>
          </w:p>
        </w:tc>
        <w:tc>
          <w:tcPr>
            <w:tcW w:w="6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楷体_GB2312" w:hint="default"/>
                <w:b/>
                <w:bCs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ascii="宋体" w:eastAsia="宋体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2"/>
                <w:u w:val="none"/>
                <w:lang w:val="en-US" w:eastAsia="zh-CN"/>
              </w:rPr>
              <w:t>计算公式/方法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楷体_GB2312" w:hint="default"/>
                <w:b/>
                <w:bCs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ascii="宋体" w:eastAsia="宋体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2"/>
                <w:u w:val="none"/>
                <w:lang w:val="en-US" w:eastAsia="zh-CN"/>
              </w:rPr>
              <w:t>频度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楷体_GB2312" w:hint="default"/>
                <w:b/>
                <w:bCs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ascii="宋体" w:eastAsia="宋体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2"/>
                <w:u w:val="none"/>
                <w:lang w:val="en-US" w:eastAsia="zh-CN"/>
              </w:rPr>
              <w:t>责任部门</w:t>
            </w:r>
          </w:p>
        </w:tc>
      </w:tr>
      <w:tr>
        <w:tblPrEx>
          <w:tblW w:w="14197" w:type="dxa"/>
          <w:jc w:val="center"/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43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ascii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2"/>
                <w:u w:val="none"/>
                <w:lang w:val="en-US" w:eastAsia="zh-CN"/>
              </w:rPr>
              <w:t>1</w:t>
            </w:r>
          </w:p>
        </w:tc>
        <w:tc>
          <w:tcPr>
            <w:tcW w:w="636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过程指标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服务级别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SLA达成率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≥90%</w:t>
            </w:r>
          </w:p>
        </w:tc>
        <w:tc>
          <w:tcPr>
            <w:tcW w:w="6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达到服务级别要求的事件数/应达到服务级别要求的事件总数*100%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季度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数智运营部</w:t>
            </w:r>
          </w:p>
        </w:tc>
      </w:tr>
      <w:tr>
        <w:tblPrEx>
          <w:tblW w:w="14197" w:type="dxa"/>
          <w:jc w:val="center"/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43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ascii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2"/>
                <w:u w:val="none"/>
                <w:lang w:val="en-US" w:eastAsia="zh-CN"/>
              </w:rPr>
              <w:t>2</w:t>
            </w:r>
          </w:p>
        </w:tc>
        <w:tc>
          <w:tcPr>
            <w:tcW w:w="636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服务报告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服务报告交付及时率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≥90%</w:t>
            </w:r>
          </w:p>
        </w:tc>
        <w:tc>
          <w:tcPr>
            <w:tcW w:w="6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（服务报告按时提交的数量/服务报告总数量）*100%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季度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数智运营部</w:t>
            </w:r>
          </w:p>
        </w:tc>
      </w:tr>
      <w:tr>
        <w:tblPrEx>
          <w:tblW w:w="14197" w:type="dxa"/>
          <w:jc w:val="center"/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436" w:type="dxa"/>
            <w:vMerge w:val="restart"/>
            <w:tcBorders>
              <w:top w:val="single" w:sz="4" w:space="0" w:color="auto"/>
              <w:left w:val="nil"/>
              <w:right w:val="single" w:sz="12" w:space="0" w:color="auto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ascii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2"/>
                <w:u w:val="none"/>
                <w:lang w:val="en-US" w:eastAsia="zh-CN"/>
              </w:rPr>
              <w:t>3</w:t>
            </w:r>
          </w:p>
        </w:tc>
        <w:tc>
          <w:tcPr>
            <w:tcW w:w="636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事件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事件解决率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≥90%</w:t>
            </w:r>
          </w:p>
        </w:tc>
        <w:tc>
          <w:tcPr>
            <w:tcW w:w="6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成功解决事件数/已关闭事件总数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月度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数智运营部</w:t>
            </w:r>
          </w:p>
        </w:tc>
      </w:tr>
      <w:tr>
        <w:tblPrEx>
          <w:tblW w:w="14197" w:type="dxa"/>
          <w:jc w:val="center"/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436" w:type="dxa"/>
            <w:vMerge/>
            <w:tcBorders>
              <w:left w:val="nil"/>
              <w:bottom w:val="single" w:sz="4" w:space="0" w:color="auto"/>
              <w:right w:val="single" w:sz="12" w:space="0" w:color="auto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2"/>
                <w:u w:val="none"/>
              </w:rPr>
            </w:pPr>
          </w:p>
        </w:tc>
        <w:tc>
          <w:tcPr>
            <w:tcW w:w="636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事件解决用户满意度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≥90%</w:t>
            </w:r>
          </w:p>
        </w:tc>
        <w:tc>
          <w:tcPr>
            <w:tcW w:w="6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（调查结果为满意、非常满意的用户数量/调查满意度用户总数）*100%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季度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数智运营部</w:t>
            </w:r>
          </w:p>
        </w:tc>
      </w:tr>
      <w:tr>
        <w:tblPrEx>
          <w:tblW w:w="14197" w:type="dxa"/>
          <w:jc w:val="center"/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/>
          <w:jc w:val="center"/>
        </w:trPr>
        <w:tc>
          <w:tcPr>
            <w:tcW w:w="436" w:type="dxa"/>
            <w:vMerge w:val="restart"/>
            <w:tcBorders>
              <w:top w:val="single" w:sz="4" w:space="0" w:color="auto"/>
              <w:left w:val="nil"/>
              <w:right w:val="single" w:sz="12" w:space="0" w:color="auto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default"/>
                <w:i w:val="0"/>
                <w:iCs w:val="0"/>
                <w:color w:val="000000"/>
                <w:sz w:val="21"/>
                <w:szCs w:val="22"/>
                <w:u w:val="none"/>
                <w:lang w:val="en-US"/>
              </w:rPr>
            </w:pPr>
            <w:r>
              <w:rPr>
                <w:rFonts w:ascii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2"/>
                <w:u w:val="none"/>
                <w:lang w:val="en-US" w:eastAsia="zh-CN"/>
              </w:rPr>
              <w:t>4</w:t>
            </w:r>
          </w:p>
        </w:tc>
        <w:tc>
          <w:tcPr>
            <w:tcW w:w="636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问题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问题转知识的比率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≥90%</w:t>
            </w:r>
          </w:p>
        </w:tc>
        <w:tc>
          <w:tcPr>
            <w:tcW w:w="6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问题转知识库的总数/已解决的问题总数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季度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数智运营部</w:t>
            </w:r>
          </w:p>
        </w:tc>
      </w:tr>
      <w:tr>
        <w:tblPrEx>
          <w:tblW w:w="14197" w:type="dxa"/>
          <w:jc w:val="center"/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436" w:type="dxa"/>
            <w:vMerge/>
            <w:tcBorders>
              <w:left w:val="nil"/>
              <w:bottom w:val="single" w:sz="4" w:space="0" w:color="auto"/>
              <w:right w:val="single" w:sz="12" w:space="0" w:color="auto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default"/>
                <w:i w:val="0"/>
                <w:iCs w:val="0"/>
                <w:color w:val="000000"/>
                <w:sz w:val="21"/>
                <w:szCs w:val="22"/>
                <w:u w:val="none"/>
                <w:lang w:val="en-US"/>
              </w:rPr>
            </w:pPr>
          </w:p>
        </w:tc>
        <w:tc>
          <w:tcPr>
            <w:tcW w:w="636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问题解决率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≥90%</w:t>
            </w:r>
          </w:p>
        </w:tc>
        <w:tc>
          <w:tcPr>
            <w:tcW w:w="6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（已解决的问题数量/问题总数）*100%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季度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数智运营部</w:t>
            </w:r>
          </w:p>
        </w:tc>
      </w:tr>
      <w:tr>
        <w:tblPrEx>
          <w:tblW w:w="14197" w:type="dxa"/>
          <w:jc w:val="center"/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43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pPr>
            <w:r>
              <w:rPr>
                <w:rFonts w:ascii="宋体" w:hAnsi="宋体" w:cs="宋体" w:hint="eastAsia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5</w:t>
            </w:r>
          </w:p>
        </w:tc>
        <w:tc>
          <w:tcPr>
            <w:tcW w:w="636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配置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配置数据的准确率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≥95%</w:t>
            </w:r>
          </w:p>
        </w:tc>
        <w:tc>
          <w:tcPr>
            <w:tcW w:w="6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（配置数据匹配数/配置数据总数）*100%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半年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数智运营部</w:t>
            </w:r>
          </w:p>
        </w:tc>
      </w:tr>
      <w:tr>
        <w:tblPrEx>
          <w:tblW w:w="14197" w:type="dxa"/>
          <w:jc w:val="center"/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43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pPr>
            <w:r>
              <w:rPr>
                <w:rFonts w:ascii="宋体" w:hAnsi="宋体" w:cs="宋体" w:hint="eastAsia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6</w:t>
            </w:r>
          </w:p>
        </w:tc>
        <w:tc>
          <w:tcPr>
            <w:tcW w:w="636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变更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变更成功率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≥98%</w:t>
            </w:r>
          </w:p>
        </w:tc>
        <w:tc>
          <w:tcPr>
            <w:tcW w:w="6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（变更成功的数量/变更总数)*100%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月度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数智运营部</w:t>
            </w:r>
          </w:p>
        </w:tc>
      </w:tr>
      <w:tr>
        <w:tblPrEx>
          <w:tblW w:w="14197" w:type="dxa"/>
          <w:jc w:val="center"/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43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pPr>
            <w:r>
              <w:rPr>
                <w:rFonts w:ascii="宋体" w:hAnsi="宋体" w:cs="宋体" w:hint="eastAsia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7</w:t>
            </w:r>
          </w:p>
        </w:tc>
        <w:tc>
          <w:tcPr>
            <w:tcW w:w="636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发布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发布成功率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≥98%</w:t>
            </w:r>
          </w:p>
        </w:tc>
        <w:tc>
          <w:tcPr>
            <w:tcW w:w="6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（发布成功的数量/发布总数）*100%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月度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数智运营部</w:t>
            </w:r>
          </w:p>
        </w:tc>
      </w:tr>
      <w:tr>
        <w:tblPrEx>
          <w:tblW w:w="14197" w:type="dxa"/>
          <w:jc w:val="center"/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436" w:type="dxa"/>
            <w:vMerge w:val="restart"/>
            <w:tcBorders>
              <w:top w:val="single" w:sz="4" w:space="0" w:color="auto"/>
              <w:left w:val="nil"/>
              <w:right w:val="single" w:sz="12" w:space="0" w:color="auto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ascii="宋体" w:hAnsi="宋体" w:cs="宋体" w:hint="eastAsia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8</w:t>
            </w:r>
          </w:p>
        </w:tc>
        <w:tc>
          <w:tcPr>
            <w:tcW w:w="636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服务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服务可用率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≥90%</w:t>
            </w:r>
          </w:p>
        </w:tc>
        <w:tc>
          <w:tcPr>
            <w:tcW w:w="6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服务实际可用时间/服务计划可用时间*100%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月度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数智运营部</w:t>
            </w:r>
          </w:p>
        </w:tc>
      </w:tr>
      <w:tr>
        <w:tblPrEx>
          <w:tblW w:w="14197" w:type="dxa"/>
          <w:jc w:val="center"/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436" w:type="dxa"/>
            <w:vMerge/>
            <w:tcBorders>
              <w:left w:val="nil"/>
              <w:bottom w:val="single" w:sz="4" w:space="0" w:color="auto"/>
              <w:right w:val="single" w:sz="12" w:space="0" w:color="auto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2"/>
                <w:u w:val="none"/>
              </w:rPr>
            </w:pPr>
          </w:p>
        </w:tc>
        <w:tc>
          <w:tcPr>
            <w:tcW w:w="636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服务故障中断次数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≤1次</w:t>
            </w:r>
          </w:p>
        </w:tc>
        <w:tc>
          <w:tcPr>
            <w:tcW w:w="6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数量，因服务故障导致的服务中断次数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月度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数智运营部</w:t>
            </w:r>
          </w:p>
        </w:tc>
      </w:tr>
      <w:tr>
        <w:tblPrEx>
          <w:tblW w:w="14197" w:type="dxa"/>
          <w:jc w:val="center"/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43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pPr>
            <w:r>
              <w:rPr>
                <w:rFonts w:ascii="宋体" w:hAnsi="宋体" w:cs="宋体" w:hint="eastAsia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9</w:t>
            </w:r>
          </w:p>
        </w:tc>
        <w:tc>
          <w:tcPr>
            <w:tcW w:w="636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容量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容量事件数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≤1次</w:t>
            </w:r>
          </w:p>
        </w:tc>
        <w:tc>
          <w:tcPr>
            <w:tcW w:w="6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数量，因容量导致的事件次数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年度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数智运营部</w:t>
            </w:r>
          </w:p>
        </w:tc>
      </w:tr>
      <w:tr>
        <w:tblPrEx>
          <w:tblW w:w="14197" w:type="dxa"/>
          <w:jc w:val="center"/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43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default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pPr>
            <w:r>
              <w:rPr>
                <w:rFonts w:ascii="宋体" w:hAnsi="宋体" w:cs="宋体" w:hint="eastAsia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10</w:t>
            </w:r>
            <w:bookmarkStart w:id="2" w:name="_GoBack"/>
            <w:bookmarkEnd w:id="2"/>
          </w:p>
        </w:tc>
        <w:tc>
          <w:tcPr>
            <w:tcW w:w="636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信息安全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信息安全事件数量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≤1次</w:t>
            </w:r>
          </w:p>
        </w:tc>
        <w:tc>
          <w:tcPr>
            <w:tcW w:w="6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我方人员造成信息安全事件的次数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年度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数智运营部</w:t>
            </w:r>
          </w:p>
        </w:tc>
      </w:tr>
    </w:tbl>
    <w:p>
      <w:pPr>
        <w:pStyle w:val="a1"/>
        <w:ind w:left="0" w:right="0" w:firstLine="0" w:leftChars="0" w:rightChars="0" w:firstLineChars="0"/>
        <w:jc w:val="both"/>
        <w:rPr>
          <w:rFonts w:hint="default"/>
          <w:vertAlign w:val="baseline"/>
          <w:lang w:val="en-US" w:eastAsia="zh-CN"/>
        </w:rPr>
      </w:pPr>
    </w:p>
    <w:sectPr>
      <w:pgSz w:w="16838" w:h="11906" w:orient="landscape"/>
      <w:pgMar w:top="1800" w:right="1417" w:bottom="1800" w:left="144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header" Target="head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1313</Words>
  <Characters>1519</Characters>
  <Application>Microsoft Office Word</Application>
  <DocSecurity>0</DocSecurity>
  <Lines>0</Lines>
  <Paragraphs>0</Paragraphs>
  <ScaleCrop>false</ScaleCrop>
  <Company/>
  <LinksUpToDate>false</LinksUpToDate>
  <CharactersWithSpaces>1525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2026-01-28T13:04:15Z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eyJoZGlkIjoiZWI4NmUzMGY2ODA3MDc4ZTFlMjZjZTAyMjM0NmVmODgiLCJ1c2VySWQiOiIxMDc1MzgyOSJ9</vt:lpwstr>
  </property>
</Properties>
</file>