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0281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1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1996448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8698"/>
      <w:r>
        <w:rPr>
          <w:rFonts w:hint="eastAsia"/>
          <w:lang w:val="en-US" w:eastAsia="zh-CN"/>
        </w:rPr>
        <w:t>过程框架需求分析报告</w:t>
      </w:r>
      <w:bookmarkEnd w:id="1"/>
    </w:p>
    <w:p w14:paraId="363E163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49B7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B7D9F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0D8674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ED1C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AE4F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8E074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CB60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F0131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B22DA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D5EF96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3579B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F2674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4D818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994F6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3AE3D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5C9B2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39BF1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8F105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B7694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518AA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E4459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69649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D362F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31D9E5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2C1E0C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50803C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D6BB8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F3E1B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9543B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3BBD1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FA30A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AFD30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0C7E1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E4D5A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42BC1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C8668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860D7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FB441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F6890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7877B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5E838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5B8B1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E25E6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85949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F9203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25E40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540EBD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1B1DD2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E57930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_Toc814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0581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过程框架需求分析报告</w:t>
          </w:r>
          <w:r>
            <w:tab/>
          </w:r>
          <w:r>
            <w:fldChar w:fldCharType="begin"/>
          </w:r>
          <w:r>
            <w:instrText xml:space="preserve"> PAGEREF _Toc28698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DD80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_Toc1641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77A70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项目背景与目标</w:t>
          </w:r>
          <w:r>
            <w:tab/>
          </w:r>
          <w:r>
            <w:fldChar w:fldCharType="begin"/>
          </w:r>
          <w:r>
            <w:instrText xml:space="preserve"> PAGEREF _Toc1015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B0C5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背景</w:t>
          </w:r>
          <w:r>
            <w:tab/>
          </w:r>
          <w:r>
            <w:fldChar w:fldCharType="begin"/>
          </w:r>
          <w:r>
            <w:instrText xml:space="preserve"> PAGEREF _Toc720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E831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目标</w:t>
          </w:r>
          <w:bookmarkStart w:id="13" w:name="_GoBack"/>
          <w:bookmarkEnd w:id="13"/>
          <w:r>
            <w:tab/>
          </w:r>
          <w:r>
            <w:fldChar w:fldCharType="begin"/>
          </w:r>
          <w:r>
            <w:instrText xml:space="preserve"> PAGEREF _Toc13546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D851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核心需求分析</w:t>
          </w:r>
          <w:r>
            <w:tab/>
          </w:r>
          <w:r>
            <w:fldChar w:fldCharType="begin"/>
          </w:r>
          <w:r>
            <w:instrText xml:space="preserve"> PAGEREF _Toc4893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68F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框架设计原则</w:t>
          </w:r>
          <w:r>
            <w:tab/>
          </w:r>
          <w:r>
            <w:fldChar w:fldCharType="begin"/>
          </w:r>
          <w:r>
            <w:instrText xml:space="preserve"> PAGEREF _Toc22962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0F200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框架结构与逻辑关系</w:t>
          </w:r>
          <w:r>
            <w:tab/>
          </w:r>
          <w:r>
            <w:fldChar w:fldCharType="begin"/>
          </w:r>
          <w:r>
            <w:instrText xml:space="preserve"> PAGEREF _Toc26194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C2EC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框架结构</w:t>
          </w:r>
          <w:r>
            <w:tab/>
          </w:r>
          <w:r>
            <w:fldChar w:fldCharType="begin"/>
          </w:r>
          <w:r>
            <w:instrText xml:space="preserve"> PAGEREF _Toc21380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6DFB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关键流程逻辑关系图</w:t>
          </w:r>
          <w:r>
            <w:tab/>
          </w:r>
          <w:r>
            <w:fldChar w:fldCharType="begin"/>
          </w:r>
          <w:r>
            <w:instrText xml:space="preserve"> PAGEREF _Toc30248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9C6D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关键设计决策</w:t>
          </w:r>
          <w:r>
            <w:tab/>
          </w:r>
          <w:r>
            <w:fldChar w:fldCharType="begin"/>
          </w:r>
          <w:r>
            <w:instrText xml:space="preserve"> PAGEREF _Toc9536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99A3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结论与建议</w:t>
          </w:r>
          <w:r>
            <w:tab/>
          </w:r>
          <w:r>
            <w:fldChar w:fldCharType="begin"/>
          </w:r>
          <w:r>
            <w:instrText xml:space="preserve"> PAGEREF _Toc4574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9C762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CE62DF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EF179B5">
      <w:pPr>
        <w:pStyle w:val="28"/>
        <w:bidi w:val="0"/>
        <w:rPr>
          <w:rFonts w:hint="default"/>
          <w:lang w:val="en-US" w:eastAsia="zh-CN"/>
        </w:rPr>
      </w:pPr>
      <w:bookmarkStart w:id="2" w:name="_Toc1641"/>
      <w:r>
        <w:rPr>
          <w:rFonts w:hint="default"/>
          <w:lang w:val="en-US" w:eastAsia="zh-CN"/>
        </w:rPr>
        <w:t>摘要</w:t>
      </w:r>
      <w:bookmarkEnd w:id="2"/>
    </w:p>
    <w:p w14:paraId="4DB39C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系统分析并阐明公司构建统一运维过程管理框架（以下简称“过程框架”）的核心需求与设计依据。框架以《服务级别管理制度》等十项制度为主体，旨在建立一套标准化、端到端、闭环管理的运维管理体系，以支持公司作为“纯软件运维服务商”的战略定位，保障服务交付的质量、效率与合规性，实现从被动响应到主动预防、从项目经验到组织能力的根本转变。</w:t>
      </w:r>
    </w:p>
    <w:p w14:paraId="38E24D68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3" w:name="_Toc1015"/>
      <w:r>
        <w:rPr>
          <w:rFonts w:hint="default"/>
          <w:lang w:val="en-US" w:eastAsia="zh-CN"/>
        </w:rPr>
        <w:t>项目背景与目标</w:t>
      </w:r>
      <w:bookmarkEnd w:id="3"/>
    </w:p>
    <w:p w14:paraId="41D863F2">
      <w:pPr>
        <w:pStyle w:val="30"/>
        <w:bidi w:val="0"/>
        <w:rPr>
          <w:rFonts w:hint="default"/>
          <w:lang w:val="en-US" w:eastAsia="zh-CN"/>
        </w:rPr>
      </w:pPr>
      <w:bookmarkStart w:id="4" w:name="_Toc720"/>
      <w:r>
        <w:rPr>
          <w:rFonts w:hint="default"/>
          <w:lang w:val="en-US" w:eastAsia="zh-CN"/>
        </w:rPr>
        <w:t>背景</w:t>
      </w:r>
      <w:bookmarkEnd w:id="4"/>
    </w:p>
    <w:p w14:paraId="6A89B2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公司作为专业的软件运维服务商，业务规模与服务复杂度持续增长。然而，原有的运维管理实践多依赖于个人经验与项目习惯，存在以下突出问题：</w:t>
      </w:r>
    </w:p>
    <w:p w14:paraId="140B08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过程不统一：各项目服务交付方式、事件处理标准、报告格式各异，服务质量波动大。</w:t>
      </w:r>
    </w:p>
    <w:p w14:paraId="6E1485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职责不清晰：跨部门（数智运营部、研究总院、质量管理部等）协同界面模糊，出现问题时易产生推诿。</w:t>
      </w:r>
    </w:p>
    <w:p w14:paraId="56ADB5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信息不连贯：事件、问题、变更、配置等管理活动相互孤立，数据无法有效流转，难以进行根本原因分析和持续改进。</w:t>
      </w:r>
    </w:p>
    <w:p w14:paraId="5F6E2D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风险不可控：对服务中断、安全事件、容量瓶颈等缺乏系统性的预防、监控和应急恢复机制。</w:t>
      </w:r>
    </w:p>
    <w:p w14:paraId="7E90B461">
      <w:pPr>
        <w:pStyle w:val="30"/>
        <w:bidi w:val="0"/>
        <w:rPr>
          <w:rFonts w:hint="default"/>
          <w:lang w:val="en-US" w:eastAsia="zh-CN"/>
        </w:rPr>
      </w:pPr>
      <w:bookmarkStart w:id="5" w:name="_Toc13546"/>
      <w:r>
        <w:rPr>
          <w:rFonts w:hint="default"/>
          <w:lang w:val="en-US" w:eastAsia="zh-CN"/>
        </w:rPr>
        <w:t>目标</w:t>
      </w:r>
      <w:bookmarkEnd w:id="5"/>
    </w:p>
    <w:p w14:paraId="10AF7D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构建过程框架的总体目标是：“建立一套语言统一、权责清晰、过程受控、持续改进的运维管理操作系统”。具体目标包括：</w:t>
      </w:r>
    </w:p>
    <w:p w14:paraId="0AA6E9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标准化：定义各项运维活动的标准流程、角色职责与输出模板。</w:t>
      </w:r>
    </w:p>
    <w:p w14:paraId="7B0C6F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可衡量：为所有关键服务活动设定可量化的绩效指标（KPI），并与服务级别协议（SLA）对齐。</w:t>
      </w:r>
    </w:p>
    <w:p w14:paraId="0F9E5C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可追溯：确保从客户需求到服务交付、从事件发生到问题根治的全过程信息可记录、可跟踪。</w:t>
      </w:r>
    </w:p>
    <w:p w14:paraId="06E350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强韧性：嵌入服务连续性、容量管理及信息安全管理要求，提升整体服务韧性与风险应对能力。</w:t>
      </w:r>
    </w:p>
    <w:p w14:paraId="07723BC6">
      <w:pPr>
        <w:pStyle w:val="28"/>
        <w:bidi w:val="0"/>
        <w:rPr>
          <w:rFonts w:hint="default"/>
          <w:lang w:val="en-US" w:eastAsia="zh-CN"/>
        </w:rPr>
      </w:pPr>
      <w:bookmarkStart w:id="6" w:name="_Toc4893"/>
      <w:r>
        <w:rPr>
          <w:rFonts w:hint="default"/>
          <w:lang w:val="en-US" w:eastAsia="zh-CN"/>
        </w:rPr>
        <w:t>核心需求分析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4399"/>
        <w:gridCol w:w="3729"/>
      </w:tblGrid>
      <w:tr w14:paraId="1E9D6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BA48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658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具体需求描述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3E9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对应制度/设计</w:t>
            </w:r>
          </w:p>
        </w:tc>
      </w:tr>
      <w:tr w14:paraId="3744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BB13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业务合规需求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6D9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满足客户合同及SLA中明确约定的服务管理要求。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0DC5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《服务级别管理制度》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《服务报告管理制度》</w:t>
            </w:r>
          </w:p>
        </w:tc>
      </w:tr>
      <w:tr w14:paraId="25B5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20A2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BEB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符合国家及行业相关标准（如ITSS、信息安全等保）的体系化要求。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6916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贯穿所有制度，尤其在《质量管理部》、《信息安全管理》职责中体现。</w:t>
            </w:r>
          </w:p>
        </w:tc>
      </w:tr>
      <w:tr w14:paraId="4E6B8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AE3E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服务交付需求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246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建立统一、高效的服务请求与故障处理通道，快速恢复服务。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D3C0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《事件管理制度》（含服务台）</w:t>
            </w:r>
          </w:p>
        </w:tc>
      </w:tr>
      <w:tr w14:paraId="7D99D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E7B80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BB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系统化地分析重复性故障根本原因，防止问题复发。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E71F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《问题管理制度》</w:t>
            </w:r>
          </w:p>
        </w:tc>
      </w:tr>
      <w:tr w14:paraId="0837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FBFD5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6C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对所有生产环境的变更进行严格控制，杜绝未经授权的操作。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16DB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《变更管理制度》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《发布管理制度》</w:t>
            </w:r>
          </w:p>
        </w:tc>
      </w:tr>
      <w:tr w14:paraId="37298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134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运营支撑需求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F20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建立准确、可信的服务资产信息库，支撑高效决策与影响分析。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E84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《配置管理制度》</w:t>
            </w:r>
          </w:p>
        </w:tc>
      </w:tr>
      <w:tr w14:paraId="28640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80E5B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196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前瞻性地管理资源容量，预防性能瓶颈。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E4B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《容量管理制度》</w:t>
            </w:r>
          </w:p>
        </w:tc>
      </w:tr>
      <w:tr w14:paraId="3A48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E5893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4F1A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确保关键服务的预定可用性，并具备灾难恢复能力。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A810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《服务可用性和连续性管理制度》</w:t>
            </w:r>
          </w:p>
        </w:tc>
      </w:tr>
      <w:tr w14:paraId="47F1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7385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风险控制需求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7462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全面管理信息安全风险，保护客户及公司核心数据资产。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FB77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《信息安全管理制度》</w:t>
            </w:r>
          </w:p>
        </w:tc>
      </w:tr>
      <w:tr w14:paraId="04A2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CFCDD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56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10. 建立明确的审计与监督机制，确保所有流程得到有效执行。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4F72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，由《质量管理部》主导。</w:t>
            </w:r>
          </w:p>
        </w:tc>
      </w:tr>
      <w:tr w14:paraId="6E452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C37B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组织协同需求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48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11. 明确跨部门（数智运营部、研究总院、质量、人力、应急）的协同职责与接口。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B289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各制度“角色与职责”章节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及流程接口部分。</w:t>
            </w:r>
          </w:p>
        </w:tc>
      </w:tr>
      <w:tr w14:paraId="3F9E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5A8C6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840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12. 将个人经验转化为组织知识，降低对关键个人的依赖。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CCF3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《问题管理》（知识转化）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《服务知识专员》岗位</w:t>
            </w:r>
          </w:p>
        </w:tc>
      </w:tr>
    </w:tbl>
    <w:p w14:paraId="3270282E">
      <w:pPr>
        <w:pStyle w:val="29"/>
        <w:rPr>
          <w:rFonts w:hint="default"/>
          <w:lang w:val="en-US" w:eastAsia="zh-CN"/>
        </w:rPr>
      </w:pPr>
    </w:p>
    <w:p w14:paraId="19AD4865">
      <w:pPr>
        <w:pStyle w:val="28"/>
        <w:bidi w:val="0"/>
        <w:rPr>
          <w:rFonts w:hint="default"/>
          <w:lang w:val="en-US" w:eastAsia="zh-CN"/>
        </w:rPr>
      </w:pPr>
      <w:bookmarkStart w:id="7" w:name="_Toc22962"/>
      <w:r>
        <w:rPr>
          <w:rFonts w:hint="default"/>
          <w:lang w:val="en-US" w:eastAsia="zh-CN"/>
        </w:rPr>
        <w:t>框架设计原则</w:t>
      </w:r>
      <w:bookmarkEnd w:id="7"/>
    </w:p>
    <w:p w14:paraId="73FF0D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为确保框架的实用性与前瞻性，设计遵循以下原则：</w:t>
      </w:r>
    </w:p>
    <w:p w14:paraId="482FED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客户导向原则：以SLA为起点和终点，所有流程设计均服务于达成并超越客户期望。</w:t>
      </w:r>
    </w:p>
    <w:p w14:paraId="4BCF80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流程闭环原则：每个关键管理活动（如事件、问题、变更）都必须形成“计划-执行-检查-处理”（PDCA）闭环，并有明确的输入、输出和考核指标。</w:t>
      </w:r>
    </w:p>
    <w:p w14:paraId="7E20B1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集成联动原则：各流程不是孤立的，而是通过清晰的接口（如事件触发问题、变更更新配置）紧密耦合，形成有机整体。</w:t>
      </w:r>
    </w:p>
    <w:p w14:paraId="68D834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角色岗位对应原则：流程中的角色必须与公司现有组织架构和岗位说明书明确对应，确保责任落地。</w:t>
      </w:r>
    </w:p>
    <w:p w14:paraId="1415D9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风险与质量内嵌原则：将质量控制、信息安全和连续性管理的要求融入每一个核心运维流程，而非事后补救。</w:t>
      </w:r>
    </w:p>
    <w:p w14:paraId="2644FB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工具支撑原则：框架设计需考虑到未来运维管理平台（ITSM）的支撑，流程与工具能力相匹配。</w:t>
      </w:r>
    </w:p>
    <w:p w14:paraId="7F1DA497">
      <w:pPr>
        <w:pStyle w:val="28"/>
        <w:bidi w:val="0"/>
        <w:rPr>
          <w:rFonts w:hint="default"/>
          <w:lang w:val="en-US" w:eastAsia="zh-CN"/>
        </w:rPr>
      </w:pPr>
      <w:bookmarkStart w:id="8" w:name="_Toc26194"/>
      <w:r>
        <w:rPr>
          <w:rFonts w:hint="default"/>
          <w:lang w:val="en-US" w:eastAsia="zh-CN"/>
        </w:rPr>
        <w:t>框架结构与逻辑关系</w:t>
      </w:r>
      <w:bookmarkEnd w:id="8"/>
    </w:p>
    <w:p w14:paraId="27851C19">
      <w:pPr>
        <w:pStyle w:val="30"/>
        <w:bidi w:val="0"/>
        <w:rPr>
          <w:rFonts w:hint="default"/>
          <w:lang w:val="en-US" w:eastAsia="zh-CN"/>
        </w:rPr>
      </w:pPr>
      <w:bookmarkStart w:id="9" w:name="_Toc21380"/>
      <w:r>
        <w:rPr>
          <w:rFonts w:hint="default"/>
          <w:lang w:val="en-US" w:eastAsia="zh-CN"/>
        </w:rPr>
        <w:t>框架结构</w:t>
      </w:r>
      <w:bookmarkEnd w:id="9"/>
    </w:p>
    <w:p w14:paraId="470A74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过程框架采用 “三层驱动、两类保障” 的核心结构：</w:t>
      </w:r>
    </w:p>
    <w:p w14:paraId="137AC9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目标驱动层：以《服务级别管理》为核心，定义服务目标与价值。</w:t>
      </w:r>
    </w:p>
    <w:p w14:paraId="75F26E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核心交付层：包含 服务运营主线（事件-问题-变更-发布）和 基础数据主线（配置管理），是日常服务交付的核心。</w:t>
      </w:r>
    </w:p>
    <w:p w14:paraId="55EEB8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效能保障层：由《容量管理》、《可用性与连续性管理》构成，关注服务的稳定与可持续性。</w:t>
      </w:r>
    </w:p>
    <w:p w14:paraId="2AA1C6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全域保障层：由《信息安全管理》提供覆盖所有活动的安全基线，《质量管理》提供独立监督与改进驱动，二者横向贯穿所有层次。</w:t>
      </w:r>
    </w:p>
    <w:p w14:paraId="1537138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0" w:name="_Toc30248"/>
      <w:r>
        <w:rPr>
          <w:rFonts w:hint="default"/>
          <w:lang w:val="en-US" w:eastAsia="zh-CN"/>
        </w:rPr>
        <w:t>关键流程逻辑关系图</w:t>
      </w:r>
      <w:bookmarkEnd w:id="10"/>
    </w:p>
    <w:p w14:paraId="6AABBF21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07086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3047">
      <w:pPr>
        <w:pStyle w:val="28"/>
        <w:bidi w:val="0"/>
        <w:rPr>
          <w:rFonts w:hint="default"/>
          <w:lang w:val="en-US" w:eastAsia="zh-CN"/>
        </w:rPr>
      </w:pPr>
      <w:bookmarkStart w:id="11" w:name="_Toc9536"/>
      <w:r>
        <w:rPr>
          <w:rFonts w:hint="default"/>
          <w:lang w:val="en-US" w:eastAsia="zh-CN"/>
        </w:rPr>
        <w:t>关键设计决策</w:t>
      </w:r>
      <w:bookmarkEnd w:id="11"/>
    </w:p>
    <w:p w14:paraId="2190FC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聚焦“纯软件”：在事件分类、配置项范围、容量对象定义中，明确聚焦于应用程序、数据、API、云资源等软件资产，剥离了传统IT硬件运维内容。</w:t>
      </w:r>
    </w:p>
    <w:p w14:paraId="354B0F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设立“应急管理部”接口：在《事件管理》和《服务可用性和连续性管理》中，明确P0/P1事件与服务连续性应急由应急管理部主导，实现了日常运维与应急指挥的平战分离与有序衔接。</w:t>
      </w:r>
    </w:p>
    <w:p w14:paraId="32C71E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强化“知识转化”：在《问题管理》中设定“问题转知识比率”KPI，并通过设立“服务知识专员”岗位，确保经验得以有效沉淀和复用。</w:t>
      </w:r>
    </w:p>
    <w:p w14:paraId="0DF962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建立“虚拟决策组织”：通过《变更管理》中的“变更顾问委员会”（CAB）和《信息安全》中的“信息安全管理团队”，建立跨部门的决策与协同机制，打破部门墙。</w:t>
      </w:r>
    </w:p>
    <w:p w14:paraId="5DF2E7E5">
      <w:pPr>
        <w:pStyle w:val="28"/>
        <w:bidi w:val="0"/>
        <w:rPr>
          <w:rFonts w:hint="default"/>
          <w:lang w:val="en-US" w:eastAsia="zh-CN"/>
        </w:rPr>
      </w:pPr>
      <w:bookmarkStart w:id="12" w:name="_Toc4574"/>
      <w:r>
        <w:rPr>
          <w:rFonts w:hint="default"/>
          <w:lang w:val="en-US" w:eastAsia="zh-CN"/>
        </w:rPr>
        <w:t>结论与建议</w:t>
      </w:r>
      <w:bookmarkEnd w:id="12"/>
    </w:p>
    <w:p w14:paraId="4C4E96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本需求分析表明，构建并实施此套过程框架，是公司提升软件运维服务专业化、标准化和规模化能力的必要且紧迫的基础工程。该框架设计紧密结合业务实际，逻辑清晰，职责明确，具备良好的可执行性。</w:t>
      </w:r>
    </w:p>
    <w:p w14:paraId="3759CC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</w:t>
      </w:r>
    </w:p>
    <w:p w14:paraId="0992A7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立即批准发布：建议公司管理层批准本报告及关联的十项过程管理制度，作为公司级规范正式发布。</w:t>
      </w:r>
    </w:p>
    <w:p w14:paraId="4065E4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启动全员赋能：由人力部与数智运营部牵头，制定详细的宣贯与培训计划，确保各层级员工理解、掌握并遵循新流程。</w:t>
      </w:r>
    </w:p>
    <w:p w14:paraId="5FB435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配套工具优化：建议同步规划或升级运维管理平台（ITSM），以数字化工具固化和简化流程执行，提升效率。</w:t>
      </w:r>
    </w:p>
    <w:p w14:paraId="001777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建立度量体系：依据各制度中的KPI，建立公司级的服务运营仪表盘，持续监控框架运行效能，并以此驱动持续改进。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8A40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CD751E"/>
    <w:rsid w:val="7FFE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2511</Words>
  <Characters>2633</Characters>
  <Lines>0</Lines>
  <Paragraphs>0</Paragraphs>
  <TotalTime>4</TotalTime>
  <ScaleCrop>false</ScaleCrop>
  <LinksUpToDate>false</LinksUpToDate>
  <CharactersWithSpaces>2701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2026-02-06T14:14:46Z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