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CC299E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7621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 w14:paraId="6A5743C8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1150"/>
      <w:r>
        <w:rPr>
          <w:rFonts w:hint="eastAsia"/>
          <w:lang w:val="en-US" w:eastAsia="zh-CN"/>
        </w:rPr>
        <w:t>翔云系统运维服务项目</w:t>
      </w:r>
      <w:bookmarkEnd w:id="1"/>
    </w:p>
    <w:p w14:paraId="28882558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2" w:name="_Toc6674"/>
      <w:r>
        <w:rPr>
          <w:rFonts w:hint="eastAsia"/>
          <w:lang w:val="en-US" w:eastAsia="zh-CN"/>
        </w:rPr>
        <w:t>服务可用性和连续性报告</w:t>
      </w:r>
      <w:bookmarkEnd w:id="2"/>
    </w:p>
    <w:p w14:paraId="46EBC1D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16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746EA2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543DC1F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数智运营部</w:t>
            </w:r>
          </w:p>
        </w:tc>
        <w:tc>
          <w:tcPr>
            <w:tcW w:w="2708" w:type="dxa"/>
          </w:tcPr>
          <w:p w14:paraId="2C23AD7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2025.11.30</w:t>
            </w:r>
          </w:p>
        </w:tc>
      </w:tr>
      <w:tr w14:paraId="107F06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532DE3D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2DB54CB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2025.11.30</w:t>
            </w:r>
          </w:p>
        </w:tc>
      </w:tr>
      <w:tr w14:paraId="73E8BA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0BB41AA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60D062A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2025.11.30</w:t>
            </w:r>
          </w:p>
        </w:tc>
      </w:tr>
    </w:tbl>
    <w:p w14:paraId="2557D22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612E92C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2248A21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1488124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537A706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1615335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527C8CE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165443D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0BCCD74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00544A6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0BB0622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4DF1D7A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3F39BAC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254A9A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徐超超</w:t>
            </w:r>
          </w:p>
        </w:tc>
        <w:tc>
          <w:tcPr>
            <w:tcW w:w="1606" w:type="dxa"/>
          </w:tcPr>
          <w:p w14:paraId="4D6DE8A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 w14:paraId="497E66E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 w14:paraId="67221A2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56" w:hRule="atLeast"/>
          <w:jc w:val="center"/>
        </w:trPr>
        <w:tc>
          <w:tcPr>
            <w:tcW w:w="1317" w:type="dxa"/>
          </w:tcPr>
          <w:p w14:paraId="301DD09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F3BF84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726594B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3A029EB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20BF0F3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23E8251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35E9DA9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6900CCD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A6098C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FB0592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1E77E4D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0C7E832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4EAD882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1366BB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60AA07E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5DEDACB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079BE0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7AE7819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892629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76C4CC5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283AB63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A5259D3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312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6992AFE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_Toc17621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_Toc17621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7DDE38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_Toc11150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翔云系统运维服务项目</w:t>
          </w:r>
          <w:r>
            <w:tab/>
          </w:r>
          <w:r>
            <w:fldChar w:fldCharType="begin"/>
          </w:r>
          <w:r>
            <w:instrText xml:space="preserve"> PAGEREF _Toc11150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A5BDBB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_Toc6674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服务可用性和连续性报告</w:t>
          </w:r>
          <w:r>
            <w:tab/>
          </w:r>
          <w:r>
            <w:fldChar w:fldCharType="begin"/>
          </w:r>
          <w:r>
            <w:instrText xml:space="preserve"> PAGEREF _Toc6674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41FE7F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_Toc8491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摘要</w:t>
          </w:r>
          <w:r>
            <w:tab/>
          </w:r>
          <w:r>
            <w:fldChar w:fldCharType="begin"/>
          </w:r>
          <w:r>
            <w:instrText xml:space="preserve"> PAGEREF _Toc8491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C7910A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_Toc9190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服务可用性核心指标达成情况</w:t>
          </w:r>
          <w:r>
            <w:tab/>
          </w:r>
          <w:r>
            <w:fldChar w:fldCharType="begin"/>
          </w:r>
          <w:r>
            <w:instrText xml:space="preserve"> PAGEREF _Toc9190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9C1E60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_Toc25552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服务连续性管理常态化建设</w:t>
          </w:r>
          <w:r>
            <w:tab/>
          </w:r>
          <w:r>
            <w:fldChar w:fldCharType="begin"/>
          </w:r>
          <w:r>
            <w:instrText xml:space="preserve"> PAGEREF _Toc25552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BA1225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_Toc23340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连续性能力日常渗透</w:t>
          </w:r>
          <w:r>
            <w:tab/>
          </w:r>
          <w:r>
            <w:fldChar w:fldCharType="begin"/>
          </w:r>
          <w:r>
            <w:instrText xml:space="preserve"> PAGEREF _Toc23340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CC9BDC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_Toc24959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计划性演练与优化</w:t>
          </w:r>
          <w:r>
            <w:tab/>
          </w:r>
          <w:r>
            <w:fldChar w:fldCharType="begin"/>
          </w:r>
          <w:r>
            <w:instrText xml:space="preserve"> PAGEREF _Toc24959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36A987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_Toc5187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 风险评估与计划迭代</w:t>
          </w:r>
          <w:r>
            <w:tab/>
          </w:r>
          <w:r>
            <w:fldChar w:fldCharType="begin"/>
          </w:r>
          <w:r>
            <w:instrText xml:space="preserve"> PAGEREF _Toc5187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999362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_Toc18925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知识管理体系的核心支撑作用</w:t>
          </w:r>
          <w:r>
            <w:tab/>
          </w:r>
          <w:r>
            <w:fldChar w:fldCharType="begin"/>
          </w:r>
          <w:r>
            <w:instrText xml:space="preserve"> PAGEREF _Toc18925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AE0D3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_Toc8573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组织协同与资源保障</w:t>
          </w:r>
          <w:r>
            <w:tab/>
          </w:r>
          <w:r>
            <w:fldChar w:fldCharType="begin"/>
          </w:r>
          <w:r>
            <w:instrText xml:space="preserve"> PAGEREF _Toc8573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473DCB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_Toc18898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持续改进与未来规划</w:t>
          </w:r>
          <w:r>
            <w:tab/>
          </w:r>
          <w:r>
            <w:fldChar w:fldCharType="begin"/>
          </w:r>
          <w:r>
            <w:instrText xml:space="preserve"> PAGEREF _Toc18898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C07513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_Toc14774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7. 结论</w:t>
          </w:r>
          <w:r>
            <w:tab/>
          </w:r>
          <w:r>
            <w:fldChar w:fldCharType="begin"/>
          </w:r>
          <w:r>
            <w:instrText xml:space="preserve"> PAGEREF _Toc14774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4B83A26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67B4373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32C54E9C">
      <w:pPr>
        <w:pStyle w:val="28"/>
        <w:bidi w:val="0"/>
        <w:rPr>
          <w:rFonts w:hint="default"/>
          <w:lang w:val="en-US" w:eastAsia="zh-CN"/>
        </w:rPr>
      </w:pPr>
      <w:bookmarkStart w:id="3" w:name="_Toc8491"/>
      <w:r>
        <w:rPr>
          <w:rFonts w:hint="default"/>
          <w:lang w:val="en-US" w:eastAsia="zh-CN"/>
        </w:rPr>
        <w:t>摘要</w:t>
      </w:r>
      <w:bookmarkEnd w:id="3"/>
    </w:p>
    <w:p w14:paraId="729C3F7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本报告旨在全面总结自项目启动至2025年11月30日期间，乙方（江西通信产业服务有限公司）依据《翔云系统运维</w:t>
      </w:r>
      <w:r>
        <w:rPr>
          <w:rFonts w:hint="eastAsia"/>
          <w:lang w:val="en-US" w:eastAsia="zh-CN"/>
        </w:rPr>
        <w:t>项目</w:t>
      </w:r>
      <w:r>
        <w:rPr>
          <w:rFonts w:hint="default"/>
          <w:lang w:val="en-US" w:eastAsia="zh-CN"/>
        </w:rPr>
        <w:t>建设项目合同》及《服务可用性与连续性计划（SAC）》，在保障"翔云系统"运维服务高可用性与业务连续性方面的执行情况、关键绩效及持续改进成果。核心数据显示，服务整体可用率达到</w:t>
      </w:r>
      <w:r>
        <w:rPr>
          <w:rFonts w:hint="eastAsia"/>
          <w:lang w:val="en-US" w:eastAsia="zh-CN"/>
        </w:rPr>
        <w:t>100</w:t>
      </w:r>
      <w:r>
        <w:rPr>
          <w:rFonts w:hint="default"/>
          <w:lang w:val="en-US" w:eastAsia="zh-CN"/>
        </w:rPr>
        <w:t>%，所有监控指标均优于合同约定目标，通过体系化的日常运维管理、有效的知识沉淀及前瞻性的演练规划，确保了服务的稳定与可靠交付。</w:t>
      </w:r>
    </w:p>
    <w:p w14:paraId="2F5D07FA">
      <w:pPr>
        <w:pStyle w:val="28"/>
        <w:bidi w:val="0"/>
        <w:rPr>
          <w:rFonts w:hint="default"/>
          <w:lang w:val="en-US" w:eastAsia="zh-CN"/>
        </w:rPr>
      </w:pPr>
      <w:bookmarkStart w:id="4" w:name="_Toc9190"/>
      <w:r>
        <w:rPr>
          <w:rFonts w:hint="default"/>
          <w:lang w:val="en-US" w:eastAsia="zh-CN"/>
        </w:rPr>
        <w:t>服务可用性核心指标达成情况</w:t>
      </w:r>
      <w:bookmarkEnd w:id="4"/>
    </w:p>
    <w:tbl>
      <w:tblPr>
        <w:tblStyle w:val="20"/>
        <w:tblW w:w="850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49"/>
        <w:gridCol w:w="1586"/>
        <w:gridCol w:w="2327"/>
        <w:gridCol w:w="1443"/>
      </w:tblGrid>
      <w:tr w14:paraId="59F2CF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3149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390E19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指标项目</w:t>
            </w:r>
          </w:p>
        </w:tc>
        <w:tc>
          <w:tcPr>
            <w:tcW w:w="158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1392D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合同目标(SLA)</w:t>
            </w:r>
          </w:p>
        </w:tc>
        <w:tc>
          <w:tcPr>
            <w:tcW w:w="232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0EF73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2025年1-11月实际达成</w:t>
            </w:r>
          </w:p>
        </w:tc>
        <w:tc>
          <w:tcPr>
            <w:tcW w:w="144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F4087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评估</w:t>
            </w:r>
          </w:p>
        </w:tc>
      </w:tr>
      <w:tr w14:paraId="08985A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14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E9F91C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月度服务可用率</w:t>
            </w:r>
          </w:p>
        </w:tc>
        <w:tc>
          <w:tcPr>
            <w:tcW w:w="15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0DF2C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 9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%</w:t>
            </w:r>
          </w:p>
        </w:tc>
        <w:tc>
          <w:tcPr>
            <w:tcW w:w="23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4DD46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%</w:t>
            </w:r>
          </w:p>
        </w:tc>
        <w:tc>
          <w:tcPr>
            <w:tcW w:w="14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F160E1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✅ 达标并超越</w:t>
            </w:r>
          </w:p>
        </w:tc>
      </w:tr>
      <w:tr w14:paraId="3EB2EA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14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6208AB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月度服务故障中断次数</w:t>
            </w:r>
          </w:p>
        </w:tc>
        <w:tc>
          <w:tcPr>
            <w:tcW w:w="15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CB612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≤1次</w:t>
            </w:r>
          </w:p>
        </w:tc>
        <w:tc>
          <w:tcPr>
            <w:tcW w:w="23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E5993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0次</w:t>
            </w:r>
          </w:p>
        </w:tc>
        <w:tc>
          <w:tcPr>
            <w:tcW w:w="14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18C059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✅ 达标</w:t>
            </w:r>
          </w:p>
        </w:tc>
      </w:tr>
    </w:tbl>
    <w:p w14:paraId="6B8A676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达成结果</w:t>
      </w:r>
      <w:r>
        <w:rPr>
          <w:rFonts w:hint="default"/>
          <w:lang w:val="en-US" w:eastAsia="zh-CN"/>
        </w:rPr>
        <w:t>分析：</w:t>
      </w:r>
    </w:p>
    <w:p w14:paraId="5B09283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服务可用性指标的稳定达成，主要得益于以下措施的常态化运行：</w:t>
      </w:r>
    </w:p>
    <w:p w14:paraId="60E49F8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常态化主动监控与巡检： 根据知识库高频问题清单，每日对关键业务流程进行健康度检查，</w:t>
      </w:r>
      <w:r>
        <w:rPr>
          <w:rFonts w:hint="eastAsia"/>
          <w:lang w:val="en-US" w:eastAsia="zh-CN"/>
        </w:rPr>
        <w:t>截止2025年11月</w:t>
      </w:r>
      <w:r>
        <w:rPr>
          <w:rFonts w:hint="default"/>
          <w:lang w:val="en-US" w:eastAsia="zh-CN"/>
        </w:rPr>
        <w:t>累计完成预防性干预58次，有效避免了潜在的服务波动。</w:t>
      </w:r>
    </w:p>
    <w:p w14:paraId="26DFC3E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稳健的资源与技能保障：项目团队严格执行“主备岗”制度与定期轮训，确保了人员变动与假期期间的服务无缝衔接。本年度团队核心人员保有率为100%。</w:t>
      </w:r>
    </w:p>
    <w:p w14:paraId="269AAA8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知识驱动的效率提升： 知识库的持续运营使得78%的P3/P4级服务请求可通过标准方案快速处理，用户自助查询解决率提升至35%，从根本上减轻了服务台压力并提升了整体效率。</w:t>
      </w:r>
    </w:p>
    <w:p w14:paraId="71266E84">
      <w:pPr>
        <w:pStyle w:val="28"/>
        <w:bidi w:val="0"/>
        <w:rPr>
          <w:rFonts w:hint="default"/>
          <w:lang w:val="en-US" w:eastAsia="zh-CN"/>
        </w:rPr>
      </w:pPr>
      <w:bookmarkStart w:id="5" w:name="_Toc25552"/>
      <w:r>
        <w:rPr>
          <w:rFonts w:hint="default"/>
          <w:lang w:val="en-US" w:eastAsia="zh-CN"/>
        </w:rPr>
        <w:t>服务连续性管理常态化建设</w:t>
      </w:r>
      <w:bookmarkEnd w:id="5"/>
    </w:p>
    <w:p w14:paraId="2939A11C">
      <w:pPr>
        <w:pStyle w:val="30"/>
        <w:bidi w:val="0"/>
        <w:rPr>
          <w:rFonts w:hint="default"/>
          <w:lang w:val="en-US" w:eastAsia="zh-CN"/>
        </w:rPr>
      </w:pPr>
      <w:bookmarkStart w:id="6" w:name="_Toc23340"/>
      <w:r>
        <w:rPr>
          <w:rFonts w:hint="default"/>
          <w:lang w:val="en-US" w:eastAsia="zh-CN"/>
        </w:rPr>
        <w:t>连续性能力日常渗透</w:t>
      </w:r>
      <w:bookmarkEnd w:id="6"/>
    </w:p>
    <w:p w14:paraId="1641F4E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流程固化：已将服务连续性意识融入日常运维流程。例如，所有系统变更前均需通过知识库评估对上下游接口的影响；服务台交接班日志中明确包含连续性状态检查项。</w:t>
      </w:r>
    </w:p>
    <w:p w14:paraId="47102A3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工具可靠性验证：通过月度例行的备用系统（如备用远程支持工具、知识库只读镜像）启动测试，确保其始终处于就绪状态。</w:t>
      </w:r>
    </w:p>
    <w:p w14:paraId="5733C660">
      <w:pPr>
        <w:pStyle w:val="30"/>
        <w:bidi w:val="0"/>
        <w:rPr>
          <w:rFonts w:hint="default"/>
          <w:lang w:val="en-US" w:eastAsia="zh-CN"/>
        </w:rPr>
      </w:pPr>
      <w:bookmarkStart w:id="7" w:name="_Toc24959"/>
      <w:r>
        <w:rPr>
          <w:rFonts w:hint="default"/>
          <w:lang w:val="en-US" w:eastAsia="zh-CN"/>
        </w:rPr>
        <w:t>计划性演练与优化</w:t>
      </w:r>
      <w:bookmarkEnd w:id="7"/>
    </w:p>
    <w:p w14:paraId="75365B8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根据SAC要求，本年度按计划完成了两项核心演练，聚焦于能力验证而非故障模拟：</w:t>
      </w:r>
    </w:p>
    <w:p w14:paraId="4687D25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6月桌面推演： 主题为“应对业务高峰期的服务资源调配”。演练验证了在咨询量激增150%的假设场景下，通过启动后备支持人员、启用知识库热点问题自动推送等方式，保障服务标准不降级的能力。</w:t>
      </w:r>
    </w:p>
    <w:p w14:paraId="3DC5F9D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10月实战演练：</w:t>
      </w:r>
      <w:bookmarkStart w:id="13" w:name="_GoBack"/>
      <w:bookmarkEnd w:id="13"/>
      <w:r>
        <w:rPr>
          <w:rFonts w:hint="default"/>
          <w:lang w:val="en-US" w:eastAsia="zh-CN"/>
        </w:rPr>
        <w:t>主题为“核心知识资产的保障与访问”。在不影响生产环境的前提下，执行了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平台从主站点到备用只读站点的计划内切换与回切。过程耗时22分钟，期间所有内部及授权用户访问不受影响，验证了关键知识资产的可连续性。</w:t>
      </w:r>
    </w:p>
    <w:p w14:paraId="01357CFD">
      <w:pPr>
        <w:pStyle w:val="30"/>
        <w:bidi w:val="0"/>
        <w:rPr>
          <w:rFonts w:hint="default"/>
          <w:lang w:val="en-US" w:eastAsia="zh-CN"/>
        </w:rPr>
      </w:pPr>
      <w:bookmarkStart w:id="8" w:name="_Toc5187"/>
      <w:r>
        <w:rPr>
          <w:rFonts w:hint="default"/>
          <w:lang w:val="en-US" w:eastAsia="zh-CN"/>
        </w:rPr>
        <w:t>风险评估与计划迭代</w:t>
      </w:r>
      <w:bookmarkEnd w:id="8"/>
    </w:p>
    <w:p w14:paraId="21AEDF4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于2025年第三季度完成了年度系统性风险评估，未识别出需立即采取行动的高级别风险。评估报告已归档，作为未来规划的依据。</w:t>
      </w:r>
    </w:p>
    <w:p w14:paraId="1861B55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根据本年度日常运营数据和演练心得，于11月完成了对SAC计划的首次优化更新，主要加强了资源弹性调配和内部沟通协调方面的程序性描述。</w:t>
      </w:r>
    </w:p>
    <w:p w14:paraId="02B9971D">
      <w:pPr>
        <w:pStyle w:val="28"/>
        <w:bidi w:val="0"/>
        <w:rPr>
          <w:rFonts w:hint="default"/>
          <w:lang w:val="en-US" w:eastAsia="zh-CN"/>
        </w:rPr>
      </w:pPr>
      <w:bookmarkStart w:id="9" w:name="_Toc18925"/>
      <w:r>
        <w:rPr>
          <w:rFonts w:hint="default"/>
          <w:lang w:val="en-US" w:eastAsia="zh-CN"/>
        </w:rPr>
        <w:t>知识管理体系的核心支撑作用</w:t>
      </w:r>
      <w:bookmarkEnd w:id="9"/>
    </w:p>
    <w:p w14:paraId="429C655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知识库运营数据： 截至2025年11月30日，本年度</w:t>
      </w:r>
      <w:r>
        <w:rPr>
          <w:rFonts w:hint="eastAsia"/>
          <w:lang w:val="en-US" w:eastAsia="zh-CN"/>
        </w:rPr>
        <w:t>项目专属知识</w:t>
      </w:r>
      <w:r>
        <w:rPr>
          <w:rFonts w:hint="default"/>
          <w:lang w:val="en-US" w:eastAsia="zh-CN"/>
        </w:rPr>
        <w:t>新增</w:t>
      </w:r>
      <w:r>
        <w:rPr>
          <w:rFonts w:hint="eastAsia"/>
          <w:lang w:val="en-US" w:eastAsia="zh-CN"/>
        </w:rPr>
        <w:t>200</w:t>
      </w:r>
      <w:r>
        <w:rPr>
          <w:rFonts w:hint="default"/>
          <w:lang w:val="en-US" w:eastAsia="zh-CN"/>
        </w:rPr>
        <w:t>条，覆盖了合同附件清单中95%以上的问题场景。</w:t>
      </w:r>
    </w:p>
    <w:p w14:paraId="637B1DC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闭环管理成效： 建立了“解决方案-用户反馈-优化更新”的闭环。本年度根据用户操作反馈和系统小版本更新，对163条 历史知识条目进行了刷新和优化，确保了知识的时效性与准确性。</w:t>
      </w:r>
    </w:p>
    <w:p w14:paraId="41CCC91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赋能效果：知识库的直接应用，使重复性问题的平均处理时间下降了52%，并将相关咨询的升级率降低了40%，显著提升了服务交付的稳定性和可预测性。</w:t>
      </w:r>
    </w:p>
    <w:p w14:paraId="36B33AB2">
      <w:pPr>
        <w:pStyle w:val="28"/>
        <w:bidi w:val="0"/>
        <w:rPr>
          <w:rFonts w:hint="default"/>
          <w:lang w:val="en-US" w:eastAsia="zh-CN"/>
        </w:rPr>
      </w:pPr>
      <w:bookmarkStart w:id="10" w:name="_Toc8573"/>
      <w:r>
        <w:rPr>
          <w:rFonts w:hint="default"/>
          <w:lang w:val="en-US" w:eastAsia="zh-CN"/>
        </w:rPr>
        <w:t>组织协同与资源保障</w:t>
      </w:r>
      <w:bookmarkEnd w:id="10"/>
    </w:p>
    <w:p w14:paraId="05DDA5D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合同约定的组织架构在本年度运行顺畅，职责清晰：</w:t>
      </w:r>
    </w:p>
    <w:p w14:paraId="20C1231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数智运营部： 作为服务统一入口和知识运营主体，确保了日常服务流的稳定与高效。</w:t>
      </w:r>
    </w:p>
    <w:p w14:paraId="4674CF9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研究总院： 提供了扎实的后台技术保障，所有需深入分析的问题均得到及时、专业的支持。</w:t>
      </w:r>
    </w:p>
    <w:p w14:paraId="3839183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质量管理部与应急管理部： 通过定期的过程审计、SLA达成情况分析及演练组织，为服务体系的持续稳健运行提供了制度性保障。</w:t>
      </w:r>
    </w:p>
    <w:p w14:paraId="038DA130">
      <w:pPr>
        <w:pStyle w:val="28"/>
        <w:bidi w:val="0"/>
        <w:rPr>
          <w:rFonts w:hint="default"/>
          <w:lang w:val="en-US" w:eastAsia="zh-CN"/>
        </w:rPr>
      </w:pPr>
      <w:bookmarkStart w:id="11" w:name="_Toc18898"/>
      <w:r>
        <w:rPr>
          <w:rFonts w:hint="default"/>
          <w:lang w:val="en-US" w:eastAsia="zh-CN"/>
        </w:rPr>
        <w:t>持续改进与未来规划</w:t>
      </w:r>
      <w:bookmarkEnd w:id="11"/>
    </w:p>
    <w:p w14:paraId="22F413F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本年度改进成果：已完成对服务台知识检索插件的升级，检索准确率提升25%。</w:t>
      </w:r>
    </w:p>
    <w:p w14:paraId="7EAACF3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下一年度（2026年）重点计划：</w:t>
      </w:r>
    </w:p>
    <w:p w14:paraId="67E0948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Q1-Q2：探索并试点AI助手在知识库智能问答和工单辅助填写的应用，进一步提升一线服务效率与一致性。</w:t>
      </w:r>
    </w:p>
    <w:p w14:paraId="232811C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Q3：规划并执行以“多系统间数据一致性保障”为主题的专项桌面推演，深化对复杂业务场景连续性保障的理解。</w:t>
      </w:r>
    </w:p>
    <w:p w14:paraId="4AC3A9A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全年：持续优化知识库的结构与用户体验，目标将用户自助解决率提升至45%。</w:t>
      </w:r>
    </w:p>
    <w:p w14:paraId="399C0BBB">
      <w:pPr>
        <w:pStyle w:val="28"/>
        <w:bidi w:val="0"/>
      </w:pPr>
      <w:bookmarkStart w:id="12" w:name="_Toc14774"/>
      <w:r>
        <w:rPr>
          <w:rFonts w:hint="default"/>
        </w:rPr>
        <w:t>结论</w:t>
      </w:r>
      <w:bookmarkEnd w:id="12"/>
    </w:p>
    <w:p w14:paraId="741DDBAB">
      <w:pPr>
        <w:pStyle w:val="29"/>
        <w:bidi w:val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Cs w:val="19"/>
        </w:rPr>
      </w:pPr>
      <w:r>
        <w:rPr>
          <w:rFonts w:hint="default"/>
        </w:rPr>
        <w:t>截至2025年11月30日，江西通信产业服务有限公司通过系统化、常态化的管理，成功履行了服务可用性与连续性的合同承诺。服务体系运行平稳高效，核心指标全面达标，并通过知识管理与前瞻性演练构建了坚实的服务韧性基础。我们将秉持持续改进的理念，致力于为甲方"翔云系统"的长期稳定运营提供卓越保障。</w:t>
      </w:r>
    </w:p>
    <w:p w14:paraId="793D9E4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33E314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C0E0D23"/>
    <w:rsid w:val="36F44ACE"/>
    <w:rsid w:val="59E0271C"/>
    <w:rsid w:val="5A145C8B"/>
    <w:rsid w:val="676F6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1987</Words>
  <Characters>2142</Characters>
  <Lines>0</Lines>
  <Paragraphs>0</Paragraphs>
  <TotalTime>0</TotalTime>
  <ScaleCrop>false</ScaleCrop>
  <LinksUpToDate>false</LinksUpToDate>
  <CharactersWithSpaces>2206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2026-02-04T16:21:20Z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eyJoZGlkIjoiZWI4NmUzMGY2ODA3MDc4ZTFlMjZjZTAyMjM0NmVmODgiLCJ1c2VySWQiOiIxMDc1MzgyOSJ9</vt:lpwstr>
  </property>
</Properties>
</file>