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7130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73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43E1A13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8547"/>
      <w:r>
        <w:rPr>
          <w:rFonts w:hint="eastAsia"/>
          <w:lang w:val="en-US" w:eastAsia="zh-CN"/>
        </w:rPr>
        <w:t>硬盘与Redis容量规划</w:t>
      </w:r>
      <w:bookmarkEnd w:id="1"/>
    </w:p>
    <w:p w14:paraId="4EFDC5D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667A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099E1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362771F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50C5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C5A74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DBB7F1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4D5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DAC9D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DEF1C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23F8F0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E218B0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0450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A4D05B4">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7C8044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A7699C5">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ACC9D7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4A3ED6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9CA7B6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F37A9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2CB5D01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80B57C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43D53A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C900C1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8A33BA8">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3E8F3AE0">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F41D9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FF9197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734A78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871F0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611905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ABC68D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9DD8A7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99AF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C318C1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656F9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312FC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87B84D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A9DBE4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7A97B0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D3F6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B8537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FF5A1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F6E33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65148C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294EE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0383B7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423A3C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AAD2AB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50F867C">
          <w:pPr>
            <w:pStyle w:val="16"/>
            <w:tabs>
              <w:tab w:val="right" w:leader="dot" w:pos="8306"/>
            </w:tabs>
          </w:pPr>
          <w:bookmarkStart w:id="17" w:name="_GoBack"/>
          <w:bookmarkEnd w:id="1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_Toc16736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_Toc16736 \h </w:instrText>
          </w:r>
          <w:r>
            <w:fldChar w:fldCharType="separate"/>
          </w:r>
          <w:r>
            <w:t>1</w:t>
          </w:r>
          <w:r>
            <w:fldChar w:fldCharType="end"/>
          </w:r>
          <w:r>
            <w:rPr>
              <w:rFonts w:hint="eastAsia" w:ascii="宋体" w:hAnsi="宋体" w:eastAsia="宋体" w:cs="宋体"/>
              <w:szCs w:val="24"/>
            </w:rPr>
            <w:fldChar w:fldCharType="end"/>
          </w:r>
        </w:p>
        <w:p w14:paraId="53079C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_Toc8547 </w:instrText>
          </w:r>
          <w:r>
            <w:rPr>
              <w:rFonts w:hint="eastAsia" w:ascii="宋体" w:hAnsi="宋体" w:eastAsia="宋体" w:cs="宋体"/>
              <w:szCs w:val="24"/>
            </w:rPr>
            <w:fldChar w:fldCharType="separate"/>
          </w:r>
          <w:r>
            <w:rPr>
              <w:rFonts w:hint="eastAsia"/>
              <w:lang w:val="en-US" w:eastAsia="zh-CN"/>
            </w:rPr>
            <w:t>硬盘与Redis容量规划</w:t>
          </w:r>
          <w:r>
            <w:tab/>
          </w:r>
          <w:r>
            <w:fldChar w:fldCharType="begin"/>
          </w:r>
          <w:r>
            <w:instrText xml:space="preserve"> PAGEREF _Toc8547 \h </w:instrText>
          </w:r>
          <w:r>
            <w:fldChar w:fldCharType="separate"/>
          </w:r>
          <w:r>
            <w:t>1</w:t>
          </w:r>
          <w:r>
            <w:fldChar w:fldCharType="end"/>
          </w:r>
          <w:r>
            <w:rPr>
              <w:rFonts w:hint="eastAsia" w:ascii="宋体" w:hAnsi="宋体" w:eastAsia="宋体" w:cs="宋体"/>
              <w:szCs w:val="24"/>
            </w:rPr>
            <w:fldChar w:fldCharType="end"/>
          </w:r>
        </w:p>
        <w:p w14:paraId="2AAD15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_Toc5956 </w:instrText>
          </w:r>
          <w:r>
            <w:rPr>
              <w:rFonts w:hint="eastAsia" w:ascii="宋体" w:hAnsi="宋体" w:eastAsia="宋体" w:cs="宋体"/>
              <w:szCs w:val="24"/>
            </w:rPr>
            <w:fldChar w:fldCharType="separate"/>
          </w:r>
          <w:r>
            <w:rPr>
              <w:rFonts w:hint="default"/>
              <w:lang w:val="en-US" w:eastAsia="zh-CN"/>
            </w:rPr>
            <w:t>1. 扩容背景与容量现状分析</w:t>
          </w:r>
          <w:r>
            <w:tab/>
          </w:r>
          <w:r>
            <w:fldChar w:fldCharType="begin"/>
          </w:r>
          <w:r>
            <w:instrText xml:space="preserve"> PAGEREF _Toc5956 \h </w:instrText>
          </w:r>
          <w:r>
            <w:fldChar w:fldCharType="separate"/>
          </w:r>
          <w:r>
            <w:t>4</w:t>
          </w:r>
          <w:r>
            <w:fldChar w:fldCharType="end"/>
          </w:r>
          <w:r>
            <w:rPr>
              <w:rFonts w:hint="eastAsia" w:ascii="宋体" w:hAnsi="宋体" w:eastAsia="宋体" w:cs="宋体"/>
              <w:szCs w:val="24"/>
            </w:rPr>
            <w:fldChar w:fldCharType="end"/>
          </w:r>
        </w:p>
        <w:p w14:paraId="06DA24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_Toc27217 </w:instrText>
          </w:r>
          <w:r>
            <w:rPr>
              <w:rFonts w:hint="eastAsia" w:ascii="宋体" w:hAnsi="宋体" w:eastAsia="宋体" w:cs="宋体"/>
              <w:szCs w:val="24"/>
            </w:rPr>
            <w:fldChar w:fldCharType="separate"/>
          </w:r>
          <w:r>
            <w:rPr>
              <w:rFonts w:hint="default"/>
              <w:lang w:val="en-US" w:eastAsia="zh-CN"/>
            </w:rPr>
            <w:t>1.1. 业务增长驱动</w:t>
          </w:r>
          <w:r>
            <w:tab/>
          </w:r>
          <w:r>
            <w:fldChar w:fldCharType="begin"/>
          </w:r>
          <w:r>
            <w:instrText xml:space="preserve"> PAGEREF _Toc27217 \h </w:instrText>
          </w:r>
          <w:r>
            <w:fldChar w:fldCharType="separate"/>
          </w:r>
          <w:r>
            <w:t>4</w:t>
          </w:r>
          <w:r>
            <w:fldChar w:fldCharType="end"/>
          </w:r>
          <w:r>
            <w:rPr>
              <w:rFonts w:hint="eastAsia" w:ascii="宋体" w:hAnsi="宋体" w:eastAsia="宋体" w:cs="宋体"/>
              <w:szCs w:val="24"/>
            </w:rPr>
            <w:fldChar w:fldCharType="end"/>
          </w:r>
        </w:p>
        <w:p w14:paraId="110C452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_Toc12235 </w:instrText>
          </w:r>
          <w:r>
            <w:rPr>
              <w:rFonts w:hint="eastAsia" w:ascii="宋体" w:hAnsi="宋体" w:eastAsia="宋体" w:cs="宋体"/>
              <w:szCs w:val="24"/>
            </w:rPr>
            <w:fldChar w:fldCharType="separate"/>
          </w:r>
          <w:r>
            <w:rPr>
              <w:rFonts w:hint="default"/>
              <w:lang w:val="en-US" w:eastAsia="zh-CN"/>
            </w:rPr>
            <w:t>1.2. 当前容量瓶颈</w:t>
          </w:r>
          <w:r>
            <w:tab/>
          </w:r>
          <w:r>
            <w:fldChar w:fldCharType="begin"/>
          </w:r>
          <w:r>
            <w:instrText xml:space="preserve"> PAGEREF _Toc12235 \h </w:instrText>
          </w:r>
          <w:r>
            <w:fldChar w:fldCharType="separate"/>
          </w:r>
          <w:r>
            <w:t>4</w:t>
          </w:r>
          <w:r>
            <w:fldChar w:fldCharType="end"/>
          </w:r>
          <w:r>
            <w:rPr>
              <w:rFonts w:hint="eastAsia" w:ascii="宋体" w:hAnsi="宋体" w:eastAsia="宋体" w:cs="宋体"/>
              <w:szCs w:val="24"/>
            </w:rPr>
            <w:fldChar w:fldCharType="end"/>
          </w:r>
        </w:p>
        <w:p w14:paraId="3912A8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_Toc19817 </w:instrText>
          </w:r>
          <w:r>
            <w:rPr>
              <w:rFonts w:hint="eastAsia" w:ascii="宋体" w:hAnsi="宋体" w:eastAsia="宋体" w:cs="宋体"/>
              <w:szCs w:val="24"/>
            </w:rPr>
            <w:fldChar w:fldCharType="separate"/>
          </w:r>
          <w:r>
            <w:rPr>
              <w:rFonts w:hint="default"/>
              <w:lang w:val="en-US" w:eastAsia="zh-CN"/>
            </w:rPr>
            <w:t>2. 扩容目标与原则</w:t>
          </w:r>
          <w:r>
            <w:tab/>
          </w:r>
          <w:r>
            <w:fldChar w:fldCharType="begin"/>
          </w:r>
          <w:r>
            <w:instrText xml:space="preserve"> PAGEREF _Toc19817 \h </w:instrText>
          </w:r>
          <w:r>
            <w:fldChar w:fldCharType="separate"/>
          </w:r>
          <w:r>
            <w:t>4</w:t>
          </w:r>
          <w:r>
            <w:fldChar w:fldCharType="end"/>
          </w:r>
          <w:r>
            <w:rPr>
              <w:rFonts w:hint="eastAsia" w:ascii="宋体" w:hAnsi="宋体" w:eastAsia="宋体" w:cs="宋体"/>
              <w:szCs w:val="24"/>
            </w:rPr>
            <w:fldChar w:fldCharType="end"/>
          </w:r>
        </w:p>
        <w:p w14:paraId="462477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_Toc27806 </w:instrText>
          </w:r>
          <w:r>
            <w:rPr>
              <w:rFonts w:hint="eastAsia" w:ascii="宋体" w:hAnsi="宋体" w:eastAsia="宋体" w:cs="宋体"/>
              <w:szCs w:val="24"/>
            </w:rPr>
            <w:fldChar w:fldCharType="separate"/>
          </w:r>
          <w:r>
            <w:rPr>
              <w:rFonts w:hint="default"/>
              <w:lang w:val="en-US" w:eastAsia="zh-CN"/>
            </w:rPr>
            <w:t>2.1. 扩容目标</w:t>
          </w:r>
          <w:r>
            <w:tab/>
          </w:r>
          <w:r>
            <w:fldChar w:fldCharType="begin"/>
          </w:r>
          <w:r>
            <w:instrText xml:space="preserve"> PAGEREF _Toc27806 \h </w:instrText>
          </w:r>
          <w:r>
            <w:fldChar w:fldCharType="separate"/>
          </w:r>
          <w:r>
            <w:t>4</w:t>
          </w:r>
          <w:r>
            <w:fldChar w:fldCharType="end"/>
          </w:r>
          <w:r>
            <w:rPr>
              <w:rFonts w:hint="eastAsia" w:ascii="宋体" w:hAnsi="宋体" w:eastAsia="宋体" w:cs="宋体"/>
              <w:szCs w:val="24"/>
            </w:rPr>
            <w:fldChar w:fldCharType="end"/>
          </w:r>
        </w:p>
        <w:p w14:paraId="1F7052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_Toc8256 </w:instrText>
          </w:r>
          <w:r>
            <w:rPr>
              <w:rFonts w:hint="eastAsia" w:ascii="宋体" w:hAnsi="宋体" w:eastAsia="宋体" w:cs="宋体"/>
              <w:szCs w:val="24"/>
            </w:rPr>
            <w:fldChar w:fldCharType="separate"/>
          </w:r>
          <w:r>
            <w:rPr>
              <w:rFonts w:hint="default"/>
              <w:lang w:val="en-US" w:eastAsia="zh-CN"/>
            </w:rPr>
            <w:t>2.2. 设计原则</w:t>
          </w:r>
          <w:r>
            <w:tab/>
          </w:r>
          <w:r>
            <w:fldChar w:fldCharType="begin"/>
          </w:r>
          <w:r>
            <w:instrText xml:space="preserve"> PAGEREF _Toc8256 \h </w:instrText>
          </w:r>
          <w:r>
            <w:fldChar w:fldCharType="separate"/>
          </w:r>
          <w:r>
            <w:t>5</w:t>
          </w:r>
          <w:r>
            <w:fldChar w:fldCharType="end"/>
          </w:r>
          <w:r>
            <w:rPr>
              <w:rFonts w:hint="eastAsia" w:ascii="宋体" w:hAnsi="宋体" w:eastAsia="宋体" w:cs="宋体"/>
              <w:szCs w:val="24"/>
            </w:rPr>
            <w:fldChar w:fldCharType="end"/>
          </w:r>
        </w:p>
        <w:p w14:paraId="5F714B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_Toc9543 </w:instrText>
          </w:r>
          <w:r>
            <w:rPr>
              <w:rFonts w:hint="eastAsia" w:ascii="宋体" w:hAnsi="宋体" w:eastAsia="宋体" w:cs="宋体"/>
              <w:szCs w:val="24"/>
            </w:rPr>
            <w:fldChar w:fldCharType="separate"/>
          </w:r>
          <w:r>
            <w:rPr>
              <w:rFonts w:hint="default"/>
              <w:lang w:val="en-US" w:eastAsia="zh-CN"/>
            </w:rPr>
            <w:t>3. 详细扩容方案</w:t>
          </w:r>
          <w:r>
            <w:tab/>
          </w:r>
          <w:r>
            <w:fldChar w:fldCharType="begin"/>
          </w:r>
          <w:r>
            <w:instrText xml:space="preserve"> PAGEREF _Toc9543 \h </w:instrText>
          </w:r>
          <w:r>
            <w:fldChar w:fldCharType="separate"/>
          </w:r>
          <w:r>
            <w:t>5</w:t>
          </w:r>
          <w:r>
            <w:fldChar w:fldCharType="end"/>
          </w:r>
          <w:r>
            <w:rPr>
              <w:rFonts w:hint="eastAsia" w:ascii="宋体" w:hAnsi="宋体" w:eastAsia="宋体" w:cs="宋体"/>
              <w:szCs w:val="24"/>
            </w:rPr>
            <w:fldChar w:fldCharType="end"/>
          </w:r>
        </w:p>
        <w:p w14:paraId="787881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_Toc31580 </w:instrText>
          </w:r>
          <w:r>
            <w:rPr>
              <w:rFonts w:hint="eastAsia" w:ascii="宋体" w:hAnsi="宋体" w:eastAsia="宋体" w:cs="宋体"/>
              <w:szCs w:val="24"/>
            </w:rPr>
            <w:fldChar w:fldCharType="separate"/>
          </w:r>
          <w:r>
            <w:rPr>
              <w:rFonts w:hint="default"/>
              <w:lang w:val="en-US" w:eastAsia="zh-CN"/>
            </w:rPr>
            <w:t>3.1. 硬盘存储扩容</w:t>
          </w:r>
          <w:r>
            <w:tab/>
          </w:r>
          <w:r>
            <w:fldChar w:fldCharType="begin"/>
          </w:r>
          <w:r>
            <w:instrText xml:space="preserve"> PAGEREF _Toc31580 \h </w:instrText>
          </w:r>
          <w:r>
            <w:fldChar w:fldCharType="separate"/>
          </w:r>
          <w:r>
            <w:t>5</w:t>
          </w:r>
          <w:r>
            <w:fldChar w:fldCharType="end"/>
          </w:r>
          <w:r>
            <w:rPr>
              <w:rFonts w:hint="eastAsia" w:ascii="宋体" w:hAnsi="宋体" w:eastAsia="宋体" w:cs="宋体"/>
              <w:szCs w:val="24"/>
            </w:rPr>
            <w:fldChar w:fldCharType="end"/>
          </w:r>
        </w:p>
        <w:p w14:paraId="4B352B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_Toc15054 </w:instrText>
          </w:r>
          <w:r>
            <w:rPr>
              <w:rFonts w:hint="eastAsia" w:ascii="宋体" w:hAnsi="宋体" w:eastAsia="宋体" w:cs="宋体"/>
              <w:szCs w:val="24"/>
            </w:rPr>
            <w:fldChar w:fldCharType="separate"/>
          </w:r>
          <w:r>
            <w:rPr>
              <w:rFonts w:hint="default"/>
              <w:lang w:val="en-US" w:eastAsia="zh-CN"/>
            </w:rPr>
            <w:t>3.2. 内存扩容</w:t>
          </w:r>
          <w:r>
            <w:tab/>
          </w:r>
          <w:r>
            <w:fldChar w:fldCharType="begin"/>
          </w:r>
          <w:r>
            <w:instrText xml:space="preserve"> PAGEREF _Toc15054 \h </w:instrText>
          </w:r>
          <w:r>
            <w:fldChar w:fldCharType="separate"/>
          </w:r>
          <w:r>
            <w:t>5</w:t>
          </w:r>
          <w:r>
            <w:fldChar w:fldCharType="end"/>
          </w:r>
          <w:r>
            <w:rPr>
              <w:rFonts w:hint="eastAsia" w:ascii="宋体" w:hAnsi="宋体" w:eastAsia="宋体" w:cs="宋体"/>
              <w:szCs w:val="24"/>
            </w:rPr>
            <w:fldChar w:fldCharType="end"/>
          </w:r>
        </w:p>
        <w:p w14:paraId="7675CD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_Toc9174 </w:instrText>
          </w:r>
          <w:r>
            <w:rPr>
              <w:rFonts w:hint="eastAsia" w:ascii="宋体" w:hAnsi="宋体" w:eastAsia="宋体" w:cs="宋体"/>
              <w:szCs w:val="24"/>
            </w:rPr>
            <w:fldChar w:fldCharType="separate"/>
          </w:r>
          <w:r>
            <w:rPr>
              <w:rFonts w:hint="default"/>
              <w:lang w:val="en-US" w:eastAsia="zh-CN"/>
            </w:rPr>
            <w:t>3.3. 数据库扩容</w:t>
          </w:r>
          <w:r>
            <w:tab/>
          </w:r>
          <w:r>
            <w:fldChar w:fldCharType="begin"/>
          </w:r>
          <w:r>
            <w:instrText xml:space="preserve"> PAGEREF _Toc9174 \h </w:instrText>
          </w:r>
          <w:r>
            <w:fldChar w:fldCharType="separate"/>
          </w:r>
          <w:r>
            <w:t>6</w:t>
          </w:r>
          <w:r>
            <w:fldChar w:fldCharType="end"/>
          </w:r>
          <w:r>
            <w:rPr>
              <w:rFonts w:hint="eastAsia" w:ascii="宋体" w:hAnsi="宋体" w:eastAsia="宋体" w:cs="宋体"/>
              <w:szCs w:val="24"/>
            </w:rPr>
            <w:fldChar w:fldCharType="end"/>
          </w:r>
        </w:p>
        <w:p w14:paraId="0377EB3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_Toc27987 </w:instrText>
          </w:r>
          <w:r>
            <w:rPr>
              <w:rFonts w:hint="eastAsia" w:ascii="宋体" w:hAnsi="宋体" w:eastAsia="宋体" w:cs="宋体"/>
              <w:szCs w:val="24"/>
            </w:rPr>
            <w:fldChar w:fldCharType="separate"/>
          </w:r>
          <w:r>
            <w:rPr>
              <w:rFonts w:hint="default"/>
              <w:lang w:val="en-US" w:eastAsia="zh-CN"/>
            </w:rPr>
            <w:t>3.4. Redis缓存集群扩容</w:t>
          </w:r>
          <w:r>
            <w:tab/>
          </w:r>
          <w:r>
            <w:fldChar w:fldCharType="begin"/>
          </w:r>
          <w:r>
            <w:instrText xml:space="preserve"> PAGEREF _Toc27987 \h </w:instrText>
          </w:r>
          <w:r>
            <w:fldChar w:fldCharType="separate"/>
          </w:r>
          <w:r>
            <w:t>6</w:t>
          </w:r>
          <w:r>
            <w:fldChar w:fldCharType="end"/>
          </w:r>
          <w:r>
            <w:rPr>
              <w:rFonts w:hint="eastAsia" w:ascii="宋体" w:hAnsi="宋体" w:eastAsia="宋体" w:cs="宋体"/>
              <w:szCs w:val="24"/>
            </w:rPr>
            <w:fldChar w:fldCharType="end"/>
          </w:r>
        </w:p>
        <w:p w14:paraId="5CACC56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_Toc21265 </w:instrText>
          </w:r>
          <w:r>
            <w:rPr>
              <w:rFonts w:hint="eastAsia" w:ascii="宋体" w:hAnsi="宋体" w:eastAsia="宋体" w:cs="宋体"/>
              <w:szCs w:val="24"/>
            </w:rPr>
            <w:fldChar w:fldCharType="separate"/>
          </w:r>
          <w:r>
            <w:rPr>
              <w:rFonts w:hint="default"/>
              <w:lang w:val="en-US" w:eastAsia="zh-CN"/>
            </w:rPr>
            <w:t>4. 实施计划与里程碑</w:t>
          </w:r>
          <w:r>
            <w:tab/>
          </w:r>
          <w:r>
            <w:fldChar w:fldCharType="begin"/>
          </w:r>
          <w:r>
            <w:instrText xml:space="preserve"> PAGEREF _Toc21265 \h </w:instrText>
          </w:r>
          <w:r>
            <w:fldChar w:fldCharType="separate"/>
          </w:r>
          <w:r>
            <w:t>6</w:t>
          </w:r>
          <w:r>
            <w:fldChar w:fldCharType="end"/>
          </w:r>
          <w:r>
            <w:rPr>
              <w:rFonts w:hint="eastAsia" w:ascii="宋体" w:hAnsi="宋体" w:eastAsia="宋体" w:cs="宋体"/>
              <w:szCs w:val="24"/>
            </w:rPr>
            <w:fldChar w:fldCharType="end"/>
          </w:r>
        </w:p>
        <w:p w14:paraId="7383BA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_Toc11110 </w:instrText>
          </w:r>
          <w:r>
            <w:rPr>
              <w:rFonts w:hint="eastAsia" w:ascii="宋体" w:hAnsi="宋体" w:eastAsia="宋体" w:cs="宋体"/>
              <w:szCs w:val="24"/>
            </w:rPr>
            <w:fldChar w:fldCharType="separate"/>
          </w:r>
          <w:r>
            <w:rPr>
              <w:rFonts w:hint="default"/>
              <w:lang w:val="en-US" w:eastAsia="zh-CN"/>
            </w:rPr>
            <w:t>5. 预算估算</w:t>
          </w:r>
          <w:r>
            <w:tab/>
          </w:r>
          <w:r>
            <w:fldChar w:fldCharType="begin"/>
          </w:r>
          <w:r>
            <w:instrText xml:space="preserve"> PAGEREF _Toc11110 \h </w:instrText>
          </w:r>
          <w:r>
            <w:fldChar w:fldCharType="separate"/>
          </w:r>
          <w:r>
            <w:t>7</w:t>
          </w:r>
          <w:r>
            <w:fldChar w:fldCharType="end"/>
          </w:r>
          <w:r>
            <w:rPr>
              <w:rFonts w:hint="eastAsia" w:ascii="宋体" w:hAnsi="宋体" w:eastAsia="宋体" w:cs="宋体"/>
              <w:szCs w:val="24"/>
            </w:rPr>
            <w:fldChar w:fldCharType="end"/>
          </w:r>
        </w:p>
        <w:p w14:paraId="4CE0A4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_Toc21808 </w:instrText>
          </w:r>
          <w:r>
            <w:rPr>
              <w:rFonts w:hint="eastAsia" w:ascii="宋体" w:hAnsi="宋体" w:eastAsia="宋体" w:cs="宋体"/>
              <w:szCs w:val="24"/>
            </w:rPr>
            <w:fldChar w:fldCharType="separate"/>
          </w:r>
          <w:r>
            <w:rPr>
              <w:rFonts w:hint="default"/>
              <w:lang w:val="en-US" w:eastAsia="zh-CN"/>
            </w:rPr>
            <w:t>6. 风险与应对措施</w:t>
          </w:r>
          <w:r>
            <w:tab/>
          </w:r>
          <w:r>
            <w:fldChar w:fldCharType="begin"/>
          </w:r>
          <w:r>
            <w:instrText xml:space="preserve"> PAGEREF _Toc21808 \h </w:instrText>
          </w:r>
          <w:r>
            <w:fldChar w:fldCharType="separate"/>
          </w:r>
          <w:r>
            <w:t>7</w:t>
          </w:r>
          <w:r>
            <w:fldChar w:fldCharType="end"/>
          </w:r>
          <w:r>
            <w:rPr>
              <w:rFonts w:hint="eastAsia" w:ascii="宋体" w:hAnsi="宋体" w:eastAsia="宋体" w:cs="宋体"/>
              <w:szCs w:val="24"/>
            </w:rPr>
            <w:fldChar w:fldCharType="end"/>
          </w:r>
        </w:p>
        <w:p w14:paraId="61F663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_Toc4392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_Toc4392 \h </w:instrText>
          </w:r>
          <w:r>
            <w:fldChar w:fldCharType="separate"/>
          </w:r>
          <w:r>
            <w:t>7</w:t>
          </w:r>
          <w:r>
            <w:fldChar w:fldCharType="end"/>
          </w:r>
          <w:r>
            <w:rPr>
              <w:rFonts w:hint="eastAsia" w:ascii="宋体" w:hAnsi="宋体" w:eastAsia="宋体" w:cs="宋体"/>
              <w:szCs w:val="24"/>
            </w:rPr>
            <w:fldChar w:fldCharType="end"/>
          </w:r>
        </w:p>
        <w:p w14:paraId="0EC1EA84">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634884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2C0C4B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 xml:space="preserve"> </w:t>
      </w:r>
      <w:bookmarkStart w:id="2" w:name="_Toc5956"/>
      <w:r>
        <w:rPr>
          <w:rFonts w:hint="default"/>
          <w:lang w:val="en-US" w:eastAsia="zh-CN"/>
        </w:rPr>
        <w:t>扩容背景与容量现状分析</w:t>
      </w:r>
      <w:bookmarkEnd w:id="2"/>
    </w:p>
    <w:p w14:paraId="6D7A703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217"/>
      <w:r>
        <w:rPr>
          <w:rFonts w:hint="default"/>
          <w:lang w:val="en-US" w:eastAsia="zh-CN"/>
        </w:rPr>
        <w:t>业务增长驱动</w:t>
      </w:r>
      <w:bookmarkEnd w:id="3"/>
    </w:p>
    <w:p w14:paraId="66C17C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随着公司运维服务规模扩大、智能运维（AIOps）能力建设及知识库资产化运营，核心数据基础设施面临持续增长压力，具体体现在：</w:t>
      </w:r>
    </w:p>
    <w:p w14:paraId="797A42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数据量激增： 监控日志、性能数据、工单附件、知识文档等非结构化数据年增长率预计超过 200%。</w:t>
      </w:r>
    </w:p>
    <w:p w14:paraId="65A4A5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并发压力提升： 服务台统一门户、智能知识检索等功能的推广，对数据库并发连接与缓存响应能力提出更高要求。</w:t>
      </w:r>
    </w:p>
    <w:p w14:paraId="6D2509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分析需求增强： 为支持服务质量分析（SLA）、故障预测等数据驱动决策，需保留更长期的历史数据并提升实时查询能力。</w:t>
      </w:r>
    </w:p>
    <w:p w14:paraId="15ACB82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2235"/>
      <w:r>
        <w:rPr>
          <w:rFonts w:hint="default"/>
          <w:lang w:val="en-US" w:eastAsia="zh-CN"/>
        </w:rPr>
        <w:t>当前容量瓶颈</w:t>
      </w:r>
      <w:bookmarkEnd w:id="4"/>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9"/>
        <w:gridCol w:w="3476"/>
        <w:gridCol w:w="961"/>
        <w:gridCol w:w="1306"/>
      </w:tblGrid>
      <w:tr w14:paraId="2EE88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77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7B2F4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组件</w:t>
            </w:r>
          </w:p>
        </w:tc>
        <w:tc>
          <w:tcPr>
            <w:tcW w:w="347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1BA6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现状</w:t>
            </w:r>
          </w:p>
        </w:tc>
        <w:tc>
          <w:tcPr>
            <w:tcW w:w="961"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FBE65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风险等级</w:t>
            </w:r>
          </w:p>
        </w:tc>
        <w:tc>
          <w:tcPr>
            <w:tcW w:w="1306"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CED64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预计耗尽时间</w:t>
            </w:r>
          </w:p>
        </w:tc>
      </w:tr>
      <w:tr w14:paraId="1FFD8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59530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硬盘存储</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AF7E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总使用率 </w:t>
            </w:r>
            <w:r>
              <w:rPr>
                <w:rStyle w:val="23"/>
                <w:rFonts w:hint="default" w:ascii="Segoe UI" w:hAnsi="Segoe UI" w:eastAsia="Segoe UI" w:cs="Segoe UI"/>
                <w:b/>
                <w:bCs/>
                <w:i w:val="0"/>
                <w:iCs w:val="0"/>
                <w:caps w:val="0"/>
                <w:snapToGrid w:val="0"/>
                <w:color w:val="000000"/>
                <w:spacing w:val="0"/>
                <w:kern w:val="0"/>
                <w:sz w:val="18"/>
                <w:szCs w:val="18"/>
                <w:lang w:val="en-US" w:eastAsia="zh-CN"/>
              </w:rPr>
              <w:t>82%</w:t>
            </w:r>
            <w:r>
              <w:rPr>
                <w:rFonts w:hint="default" w:ascii="Segoe UI" w:hAnsi="Segoe UI" w:eastAsia="Segoe UI" w:cs="Segoe UI"/>
                <w:i w:val="0"/>
                <w:iCs w:val="0"/>
                <w:caps w:val="0"/>
                <w:snapToGrid w:val="0"/>
                <w:color w:val="000000"/>
                <w:spacing w:val="0"/>
                <w:kern w:val="0"/>
                <w:sz w:val="18"/>
                <w:szCs w:val="18"/>
                <w:lang w:val="en-US" w:eastAsia="zh-CN"/>
              </w:rPr>
              <w:t>，其中监控日志分区已使用 </w:t>
            </w:r>
            <w:r>
              <w:rPr>
                <w:rStyle w:val="23"/>
                <w:rFonts w:hint="default" w:ascii="Segoe UI" w:hAnsi="Segoe UI" w:eastAsia="Segoe UI" w:cs="Segoe UI"/>
                <w:b/>
                <w:bCs/>
                <w:i w:val="0"/>
                <w:iCs w:val="0"/>
                <w:caps w:val="0"/>
                <w:snapToGrid w:val="0"/>
                <w:color w:val="000000"/>
                <w:spacing w:val="0"/>
                <w:kern w:val="0"/>
                <w:sz w:val="18"/>
                <w:szCs w:val="18"/>
                <w:lang w:val="en-US" w:eastAsia="zh-CN"/>
              </w:rPr>
              <w:t>91%</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51DD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56284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2-3个月</w:t>
            </w:r>
          </w:p>
        </w:tc>
      </w:tr>
      <w:tr w14:paraId="6A47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BB93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数据库（MySQL/PostgreSQL）</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D920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主库磁盘使用率 </w:t>
            </w:r>
            <w:r>
              <w:rPr>
                <w:rStyle w:val="23"/>
                <w:rFonts w:hint="default" w:ascii="Segoe UI" w:hAnsi="Segoe UI" w:eastAsia="Segoe UI" w:cs="Segoe UI"/>
                <w:b/>
                <w:bCs/>
                <w:i w:val="0"/>
                <w:iCs w:val="0"/>
                <w:caps w:val="0"/>
                <w:snapToGrid w:val="0"/>
                <w:color w:val="000000"/>
                <w:spacing w:val="0"/>
                <w:kern w:val="0"/>
                <w:sz w:val="18"/>
                <w:szCs w:val="18"/>
                <w:lang w:val="en-US" w:eastAsia="zh-CN"/>
              </w:rPr>
              <w:t>78%</w:t>
            </w:r>
            <w:r>
              <w:rPr>
                <w:rFonts w:hint="default" w:ascii="Segoe UI" w:hAnsi="Segoe UI" w:eastAsia="Segoe UI" w:cs="Segoe UI"/>
                <w:i w:val="0"/>
                <w:iCs w:val="0"/>
                <w:caps w:val="0"/>
                <w:snapToGrid w:val="0"/>
                <w:color w:val="000000"/>
                <w:spacing w:val="0"/>
                <w:kern w:val="0"/>
                <w:sz w:val="18"/>
                <w:szCs w:val="18"/>
                <w:lang w:val="en-US" w:eastAsia="zh-CN"/>
              </w:rPr>
              <w:t>，连接数峰值达最大配置的 </w:t>
            </w:r>
            <w:r>
              <w:rPr>
                <w:rStyle w:val="23"/>
                <w:rFonts w:hint="default" w:ascii="Segoe UI" w:hAnsi="Segoe UI" w:eastAsia="Segoe UI" w:cs="Segoe UI"/>
                <w:b/>
                <w:bCs/>
                <w:i w:val="0"/>
                <w:iCs w:val="0"/>
                <w:caps w:val="0"/>
                <w:snapToGrid w:val="0"/>
                <w:color w:val="000000"/>
                <w:spacing w:val="0"/>
                <w:kern w:val="0"/>
                <w:sz w:val="18"/>
                <w:szCs w:val="18"/>
                <w:lang w:val="en-US" w:eastAsia="zh-CN"/>
              </w:rPr>
              <w:t>85%</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47FE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中</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E570B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4-6个月</w:t>
            </w:r>
          </w:p>
        </w:tc>
      </w:tr>
      <w:tr w14:paraId="206AF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17981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Redis缓存集群</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13D3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内存使用率长期 ** &gt;80%**，高峰期触发逐出策略，影响会话状态</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4E43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F5E50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1-2个月</w:t>
            </w:r>
          </w:p>
        </w:tc>
      </w:tr>
      <w:tr w14:paraId="25BE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40496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应用服务器内存</w:t>
            </w:r>
          </w:p>
        </w:tc>
        <w:tc>
          <w:tcPr>
            <w:tcW w:w="347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B266A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部分节点SWAP使用率升高，影响监控数据收集器性能</w:t>
            </w:r>
          </w:p>
        </w:tc>
        <w:tc>
          <w:tcPr>
            <w:tcW w:w="961"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B3B0A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中</w:t>
            </w:r>
          </w:p>
        </w:tc>
        <w:tc>
          <w:tcPr>
            <w:tcW w:w="130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86691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3-4个月</w:t>
            </w:r>
          </w:p>
        </w:tc>
      </w:tr>
    </w:tbl>
    <w:p w14:paraId="481867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经对生产环境及测试环境进行容量评估，主要瓶颈如下</w:t>
      </w:r>
    </w:p>
    <w:p w14:paraId="7D6AF73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9817"/>
      <w:r>
        <w:rPr>
          <w:rFonts w:hint="default"/>
          <w:lang w:val="en-US" w:eastAsia="zh-CN"/>
        </w:rPr>
        <w:t>扩容目标与原则</w:t>
      </w:r>
      <w:bookmarkEnd w:id="5"/>
    </w:p>
    <w:p w14:paraId="332C616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7806"/>
      <w:r>
        <w:rPr>
          <w:rFonts w:hint="default"/>
          <w:lang w:val="en-US" w:eastAsia="zh-CN"/>
        </w:rPr>
        <w:t>扩容目标</w:t>
      </w:r>
      <w:bookmarkEnd w:id="6"/>
    </w:p>
    <w:p w14:paraId="2FF75D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保障业务连续性：确保在未来 12个月内，核心运维服务平台（服务台、</w:t>
      </w:r>
      <w:r>
        <w:rPr>
          <w:rFonts w:hint="eastAsia"/>
          <w:lang w:val="en-US" w:eastAsia="zh-CN"/>
        </w:rPr>
        <w:t>服务知识</w:t>
      </w:r>
      <w:r>
        <w:rPr>
          <w:rFonts w:hint="default"/>
          <w:lang w:val="en-US" w:eastAsia="zh-CN"/>
        </w:rPr>
        <w:t>、监控系统）不因基础设施容量不足而发生服务降级或中断。</w:t>
      </w:r>
    </w:p>
    <w:p w14:paraId="2C1DF9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支撑性能需求：满足峰值时期 50% 的业务增长，关键事务响应时间（P95）保持在可接受范围内。</w:t>
      </w:r>
    </w:p>
    <w:p w14:paraId="7CAC77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优化存储成本：采用分层存储策略，在保障性能的同时控制总体拥有成本（TCO）。</w:t>
      </w:r>
    </w:p>
    <w:p w14:paraId="4D5636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8256"/>
      <w:r>
        <w:rPr>
          <w:rFonts w:hint="default"/>
          <w:lang w:val="en-US" w:eastAsia="zh-CN"/>
        </w:rPr>
        <w:t>设计原则</w:t>
      </w:r>
      <w:bookmarkEnd w:id="7"/>
    </w:p>
    <w:p w14:paraId="428900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可扩展性：采用水平扩展架构，避免单一节点瓶颈。</w:t>
      </w:r>
    </w:p>
    <w:p w14:paraId="2233B1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高可用性：所有扩容组件均需满足或高于现有高可用标准。</w:t>
      </w:r>
    </w:p>
    <w:p w14:paraId="4A818E3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数据生命周期管理：明确热数据、温数据、冷数据的存储策略与归档机制。</w:t>
      </w:r>
    </w:p>
    <w:p w14:paraId="263759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运维便利性：扩容过程尽可能平滑，减少对在线服务的影响。</w:t>
      </w:r>
    </w:p>
    <w:p w14:paraId="49E91AF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9543"/>
      <w:r>
        <w:rPr>
          <w:rFonts w:hint="default"/>
          <w:lang w:val="en-US" w:eastAsia="zh-CN"/>
        </w:rPr>
        <w:t>详细扩容方案</w:t>
      </w:r>
      <w:bookmarkEnd w:id="8"/>
    </w:p>
    <w:p w14:paraId="129EE21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580"/>
      <w:r>
        <w:rPr>
          <w:rFonts w:hint="default"/>
          <w:lang w:val="en-US" w:eastAsia="zh-CN"/>
        </w:rPr>
        <w:t>硬盘存储扩容</w:t>
      </w:r>
      <w:bookmarkEnd w:id="9"/>
    </w:p>
    <w:p w14:paraId="4D7A1B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6E4AAB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高性能存储层：为数据库、Redis持久化卷及当前热点监控数据增加 20TB NVMe SSD，保障IO密集型操作性能。</w:t>
      </w:r>
    </w:p>
    <w:p w14:paraId="6875D4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大容量存储层：为日志、附件、历史监控数据等温冷数据增加 100TB 企业级SATA HDD，采用分布式存储架构（如Ceph），提供弹性扩展能力。</w:t>
      </w:r>
    </w:p>
    <w:p w14:paraId="1D6BEC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备份与归档层：强化备份体系，增加 50TB 专用备份存储或对接对象存储服务，用于长期归档与异地灾备。</w:t>
      </w:r>
    </w:p>
    <w:p w14:paraId="771024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实施要点：采用存储虚拟化技术，实现资源的动态分配与管理。</w:t>
      </w:r>
    </w:p>
    <w:p w14:paraId="4C7556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5054"/>
      <w:r>
        <w:rPr>
          <w:rFonts w:hint="default"/>
          <w:lang w:val="en-US" w:eastAsia="zh-CN"/>
        </w:rPr>
        <w:t>内存扩容</w:t>
      </w:r>
      <w:bookmarkEnd w:id="10"/>
    </w:p>
    <w:p w14:paraId="05DD90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14E8A5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应用服务器：为运行监控采集器、日志分析服务的节点统一扩容，将物理内存从当前平均64GB提升至128GB，减少SWAP使用。</w:t>
      </w:r>
    </w:p>
    <w:p w14:paraId="183813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数据库服务器：将数据库缓冲池的可用内存从 32GB 提升至 64GB，提升查询性能。</w:t>
      </w:r>
    </w:p>
    <w:p w14:paraId="31ACF5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实施要点：与硬件供应商协调，确保内存兼容性；分批实施，单节点升级时由集群其他节点接管流量。</w:t>
      </w:r>
    </w:p>
    <w:p w14:paraId="1E67A9C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9174"/>
      <w:r>
        <w:rPr>
          <w:rFonts w:hint="default"/>
          <w:lang w:val="en-US" w:eastAsia="zh-CN"/>
        </w:rPr>
        <w:t>数据库扩容</w:t>
      </w:r>
      <w:bookmarkEnd w:id="11"/>
    </w:p>
    <w:p w14:paraId="43B3BD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02D10E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垂直扩容（短期）：升级现有数据库主实例的CPU与内存配置，提升单机处理能力。</w:t>
      </w:r>
    </w:p>
    <w:p w14:paraId="7E13E9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水平拆分（中长期）：业务分库： 将知识库数据、工单数据、监控元数据等按业务域进行物理分离。</w:t>
      </w:r>
    </w:p>
    <w:p w14:paraId="4F60C6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读写分离：增加只读副本，分担报表分析、大数据查询等读密集型压力。</w:t>
      </w:r>
    </w:p>
    <w:p w14:paraId="0DF966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存储引擎优化： 针对历史工单等归档数据，评估使用压缩表或迁移至时序数据库。</w:t>
      </w:r>
    </w:p>
    <w:p w14:paraId="10A720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实施要点：制定详细的数据库迁移与切换预案，在测试环境充分验证。</w:t>
      </w:r>
    </w:p>
    <w:p w14:paraId="14B68A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7987"/>
      <w:r>
        <w:rPr>
          <w:rFonts w:hint="default"/>
          <w:lang w:val="en-US" w:eastAsia="zh-CN"/>
        </w:rPr>
        <w:t>Redis缓存集群扩容</w:t>
      </w:r>
      <w:bookmarkEnd w:id="12"/>
    </w:p>
    <w:p w14:paraId="3B114E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77FDAF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内存扩容： 将现有Redis集群的总内存容量从64GB扩展至256GB，以容纳更多热点数据与会话状态。</w:t>
      </w:r>
    </w:p>
    <w:p w14:paraId="6457C2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架构优化：实施集群分片（Cluster Sharding）模式，将数据分布到更多主节点上，提升并行处理能力与故障隔离性。</w:t>
      </w:r>
    </w:p>
    <w:p w14:paraId="4C1674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分层缓存策略：引入Redis on Flash技术或二级缓存（如Memcached），将访问频率较低的数据存放于成本更低的介质。</w:t>
      </w:r>
    </w:p>
    <w:p w14:paraId="09A61A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实施要点：利用Redis集群的在线重分片（Resharding）功能，实现平滑扩容，避免服务中断。</w:t>
      </w:r>
    </w:p>
    <w:p w14:paraId="633A276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1265"/>
      <w:r>
        <w:rPr>
          <w:rFonts w:hint="default"/>
          <w:lang w:val="en-US" w:eastAsia="zh-CN"/>
        </w:rPr>
        <w:t>实施计划与里程碑</w:t>
      </w:r>
      <w:bookmarkEnd w:id="13"/>
    </w:p>
    <w:tbl>
      <w:tblPr>
        <w:tblStyle w:val="20"/>
        <w:tblW w:w="8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53"/>
        <w:gridCol w:w="1139"/>
        <w:gridCol w:w="2593"/>
        <w:gridCol w:w="3613"/>
      </w:tblGrid>
      <w:tr w14:paraId="6C3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53" w:type="dxa"/>
            <w:shd w:val="clear" w:color="auto" w:fill="auto"/>
            <w:tcMar>
              <w:top w:w="120" w:type="dxa"/>
              <w:left w:w="0" w:type="dxa"/>
              <w:bottom w:w="120" w:type="dxa"/>
              <w:right w:w="192" w:type="dxa"/>
            </w:tcMar>
            <w:vAlign w:val="center"/>
          </w:tcPr>
          <w:p w14:paraId="607CE3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阶段</w:t>
            </w:r>
          </w:p>
        </w:tc>
        <w:tc>
          <w:tcPr>
            <w:tcW w:w="1139" w:type="dxa"/>
            <w:shd w:val="clear" w:color="auto" w:fill="auto"/>
            <w:tcMar>
              <w:top w:w="120" w:type="dxa"/>
              <w:left w:w="192" w:type="dxa"/>
              <w:bottom w:w="120" w:type="dxa"/>
              <w:right w:w="192" w:type="dxa"/>
            </w:tcMar>
            <w:vAlign w:val="center"/>
          </w:tcPr>
          <w:p w14:paraId="3D02FC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w:t>
            </w:r>
          </w:p>
        </w:tc>
        <w:tc>
          <w:tcPr>
            <w:tcW w:w="2593" w:type="dxa"/>
            <w:shd w:val="clear" w:color="auto" w:fill="auto"/>
            <w:tcMar>
              <w:top w:w="120" w:type="dxa"/>
              <w:left w:w="192" w:type="dxa"/>
              <w:bottom w:w="120" w:type="dxa"/>
              <w:right w:w="192" w:type="dxa"/>
            </w:tcMar>
            <w:vAlign w:val="center"/>
          </w:tcPr>
          <w:p w14:paraId="23AE6C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主要任务</w:t>
            </w:r>
          </w:p>
        </w:tc>
        <w:tc>
          <w:tcPr>
            <w:tcW w:w="3613" w:type="dxa"/>
            <w:shd w:val="clear" w:color="auto" w:fill="auto"/>
            <w:tcMar>
              <w:top w:w="120" w:type="dxa"/>
              <w:left w:w="192" w:type="dxa"/>
              <w:bottom w:w="120" w:type="dxa"/>
              <w:right w:w="192" w:type="dxa"/>
            </w:tcMar>
            <w:vAlign w:val="center"/>
          </w:tcPr>
          <w:p w14:paraId="6EB2AB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成功标准</w:t>
            </w:r>
          </w:p>
        </w:tc>
      </w:tr>
      <w:tr w14:paraId="6B44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0B0B59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紧急扩容</w:t>
            </w:r>
          </w:p>
        </w:tc>
        <w:tc>
          <w:tcPr>
            <w:tcW w:w="1139" w:type="dxa"/>
            <w:shd w:val="clear" w:color="auto" w:fill="auto"/>
            <w:tcMar>
              <w:top w:w="120" w:type="dxa"/>
              <w:left w:w="192" w:type="dxa"/>
              <w:bottom w:w="120" w:type="dxa"/>
              <w:right w:w="192" w:type="dxa"/>
            </w:tcMar>
            <w:vAlign w:val="center"/>
          </w:tcPr>
          <w:p w14:paraId="4303A1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第1-2个月</w:t>
            </w:r>
          </w:p>
        </w:tc>
        <w:tc>
          <w:tcPr>
            <w:tcW w:w="2593" w:type="dxa"/>
            <w:shd w:val="clear" w:color="auto" w:fill="auto"/>
            <w:tcMar>
              <w:top w:w="120" w:type="dxa"/>
              <w:left w:w="192" w:type="dxa"/>
              <w:bottom w:w="120" w:type="dxa"/>
              <w:right w:w="192" w:type="dxa"/>
            </w:tcMar>
            <w:vAlign w:val="center"/>
          </w:tcPr>
          <w:p w14:paraId="0839EC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硬盘存储紧急扩容 </w:t>
            </w:r>
            <w:r>
              <w:rPr>
                <w:rStyle w:val="23"/>
                <w:rFonts w:hint="default" w:ascii="Segoe UI" w:hAnsi="Segoe UI" w:eastAsia="Segoe UI" w:cs="Segoe UI"/>
                <w:b/>
                <w:bCs/>
                <w:i w:val="0"/>
                <w:iCs w:val="0"/>
                <w:caps w:val="0"/>
                <w:snapToGrid w:val="0"/>
                <w:color w:val="000000"/>
                <w:spacing w:val="0"/>
                <w:kern w:val="0"/>
                <w:sz w:val="18"/>
                <w:szCs w:val="18"/>
                <w:lang w:val="en-US" w:eastAsia="zh-CN"/>
              </w:rPr>
              <w:t>30TB</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Redis集群内存扩容至 </w:t>
            </w:r>
            <w:r>
              <w:rPr>
                <w:rStyle w:val="23"/>
                <w:rFonts w:hint="default" w:ascii="Segoe UI" w:hAnsi="Segoe UI" w:eastAsia="Segoe UI" w:cs="Segoe UI"/>
                <w:b/>
                <w:bCs/>
                <w:i w:val="0"/>
                <w:iCs w:val="0"/>
                <w:caps w:val="0"/>
                <w:snapToGrid w:val="0"/>
                <w:color w:val="000000"/>
                <w:spacing w:val="0"/>
                <w:kern w:val="0"/>
                <w:sz w:val="18"/>
                <w:szCs w:val="18"/>
                <w:lang w:val="en-US" w:eastAsia="zh-CN"/>
              </w:rPr>
              <w:t>128GB</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关键应用服务器内存升级</w:t>
            </w:r>
          </w:p>
        </w:tc>
        <w:tc>
          <w:tcPr>
            <w:tcW w:w="3613" w:type="dxa"/>
            <w:shd w:val="clear" w:color="auto" w:fill="auto"/>
            <w:tcMar>
              <w:top w:w="120" w:type="dxa"/>
              <w:left w:w="192" w:type="dxa"/>
              <w:bottom w:w="120" w:type="dxa"/>
              <w:right w:w="0" w:type="dxa"/>
            </w:tcMar>
            <w:vAlign w:val="center"/>
          </w:tcPr>
          <w:p w14:paraId="1B8481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高危告警消除，核心指标恢复正常阈值</w:t>
            </w:r>
          </w:p>
        </w:tc>
      </w:tr>
      <w:tr w14:paraId="0E19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512856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架构优化</w:t>
            </w:r>
          </w:p>
        </w:tc>
        <w:tc>
          <w:tcPr>
            <w:tcW w:w="1139" w:type="dxa"/>
            <w:shd w:val="clear" w:color="auto" w:fill="auto"/>
            <w:tcMar>
              <w:top w:w="120" w:type="dxa"/>
              <w:left w:w="192" w:type="dxa"/>
              <w:bottom w:w="120" w:type="dxa"/>
              <w:right w:w="192" w:type="dxa"/>
            </w:tcMar>
            <w:vAlign w:val="center"/>
          </w:tcPr>
          <w:p w14:paraId="3B9C20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第3-6个月</w:t>
            </w:r>
          </w:p>
        </w:tc>
        <w:tc>
          <w:tcPr>
            <w:tcW w:w="2593" w:type="dxa"/>
            <w:shd w:val="clear" w:color="auto" w:fill="auto"/>
            <w:tcMar>
              <w:top w:w="120" w:type="dxa"/>
              <w:left w:w="192" w:type="dxa"/>
              <w:bottom w:w="120" w:type="dxa"/>
              <w:right w:w="192" w:type="dxa"/>
            </w:tcMar>
            <w:vAlign w:val="center"/>
          </w:tcPr>
          <w:p w14:paraId="626415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完成数据库读写分离部署</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实施存储分层策略，迁移冷数据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Redis集群改造成分片模式</w:t>
            </w:r>
          </w:p>
        </w:tc>
        <w:tc>
          <w:tcPr>
            <w:tcW w:w="3613" w:type="dxa"/>
            <w:shd w:val="clear" w:color="auto" w:fill="auto"/>
            <w:tcMar>
              <w:top w:w="120" w:type="dxa"/>
              <w:left w:w="192" w:type="dxa"/>
              <w:bottom w:w="120" w:type="dxa"/>
              <w:right w:w="0" w:type="dxa"/>
            </w:tcMar>
            <w:vAlign w:val="center"/>
          </w:tcPr>
          <w:p w14:paraId="4CA2BA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读写性能提升30%，存储成本优化20%</w:t>
            </w:r>
          </w:p>
        </w:tc>
      </w:tr>
      <w:tr w14:paraId="51A2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6D6669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全面升级与规划</w:t>
            </w:r>
          </w:p>
        </w:tc>
        <w:tc>
          <w:tcPr>
            <w:tcW w:w="1139" w:type="dxa"/>
            <w:shd w:val="clear" w:color="auto" w:fill="auto"/>
            <w:tcMar>
              <w:top w:w="120" w:type="dxa"/>
              <w:left w:w="192" w:type="dxa"/>
              <w:bottom w:w="120" w:type="dxa"/>
              <w:right w:w="192" w:type="dxa"/>
            </w:tcMar>
            <w:vAlign w:val="center"/>
          </w:tcPr>
          <w:p w14:paraId="626AF4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第7-12个月</w:t>
            </w:r>
          </w:p>
        </w:tc>
        <w:tc>
          <w:tcPr>
            <w:tcW w:w="2593" w:type="dxa"/>
            <w:shd w:val="clear" w:color="auto" w:fill="auto"/>
            <w:tcMar>
              <w:top w:w="120" w:type="dxa"/>
              <w:left w:w="192" w:type="dxa"/>
              <w:bottom w:w="120" w:type="dxa"/>
              <w:right w:w="192" w:type="dxa"/>
            </w:tcMar>
            <w:vAlign w:val="center"/>
          </w:tcPr>
          <w:p w14:paraId="5A401B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分布式存储（Ceph）上线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完成所有硬件扩容目标</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建立容量监控与预测模型</w:t>
            </w:r>
          </w:p>
        </w:tc>
        <w:tc>
          <w:tcPr>
            <w:tcW w:w="3613" w:type="dxa"/>
            <w:shd w:val="clear" w:color="auto" w:fill="auto"/>
            <w:tcMar>
              <w:top w:w="120" w:type="dxa"/>
              <w:left w:w="192" w:type="dxa"/>
              <w:bottom w:w="120" w:type="dxa"/>
              <w:right w:w="0" w:type="dxa"/>
            </w:tcMar>
            <w:vAlign w:val="center"/>
          </w:tcPr>
          <w:p w14:paraId="4385C8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满足未来12个月业务增长需求，形成常态化容量管理机制</w:t>
            </w:r>
          </w:p>
        </w:tc>
      </w:tr>
    </w:tbl>
    <w:p w14:paraId="143E826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110"/>
      <w:r>
        <w:rPr>
          <w:rFonts w:hint="default"/>
          <w:lang w:val="en-US" w:eastAsia="zh-CN"/>
        </w:rPr>
        <w:t>预算估算</w:t>
      </w:r>
      <w:bookmarkEnd w:id="14"/>
    </w:p>
    <w:tbl>
      <w:tblPr>
        <w:tblStyle w:val="2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0"/>
        <w:gridCol w:w="2198"/>
        <w:gridCol w:w="779"/>
        <w:gridCol w:w="1326"/>
        <w:gridCol w:w="1320"/>
        <w:gridCol w:w="1795"/>
      </w:tblGrid>
      <w:tr w14:paraId="7B101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8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B4BD12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项目</w:t>
            </w:r>
          </w:p>
        </w:tc>
        <w:tc>
          <w:tcPr>
            <w:tcW w:w="219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AEDFE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规格说明</w:t>
            </w:r>
          </w:p>
        </w:tc>
        <w:tc>
          <w:tcPr>
            <w:tcW w:w="7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12FB8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数量</w:t>
            </w:r>
          </w:p>
        </w:tc>
        <w:tc>
          <w:tcPr>
            <w:tcW w:w="132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7A8137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预估单价</w:t>
            </w:r>
          </w:p>
        </w:tc>
        <w:tc>
          <w:tcPr>
            <w:tcW w:w="1320"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B631D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小计</w:t>
            </w:r>
          </w:p>
        </w:tc>
        <w:tc>
          <w:tcPr>
            <w:tcW w:w="179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2486F0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08689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980925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NVMe SSD</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01DE4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3.84TB, U.2</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DA3CE1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7E89CA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2D5DBD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¥48,000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A758EC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高性能存储层</w:t>
            </w:r>
          </w:p>
        </w:tc>
      </w:tr>
      <w:tr w14:paraId="6FBED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57D1B6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企业级HDD</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A8094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16TB, 7200rpm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5C866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1299D2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¥2,500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659E7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1701B5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大容量存储层</w:t>
            </w:r>
          </w:p>
        </w:tc>
      </w:tr>
      <w:tr w14:paraId="6318B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68D500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服务器内存</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94479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64GB DDR4 RDIMM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5021E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20条</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B1EDB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2C17D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¥24,000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68BCFA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应用及数据库服务器</w:t>
            </w:r>
          </w:p>
        </w:tc>
      </w:tr>
      <w:tr w14:paraId="65D0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43CEA7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Redis服务器</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DC0BF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专用节点，256GB内存</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3632D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3节点</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C9AE55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¥25,000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F3996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¥75,000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BC36F5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含硬件与授权</w:t>
            </w:r>
          </w:p>
        </w:tc>
      </w:tr>
      <w:tr w14:paraId="7749C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E5E4F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软件与服务</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8F2D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存储管理软件、实施服务等</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4C88B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84CF5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AFD00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FE83791">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1A605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5501B95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合计</w:t>
            </w:r>
          </w:p>
        </w:tc>
        <w:tc>
          <w:tcPr>
            <w:tcW w:w="219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9A98DA9">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b/>
                <w:i w:val="0"/>
                <w:iCs w:val="0"/>
                <w:caps w:val="0"/>
                <w:color w:val="0F1115"/>
                <w:spacing w:val="0"/>
                <w:sz w:val="18"/>
                <w:szCs w:val="18"/>
              </w:rPr>
            </w:pPr>
          </w:p>
        </w:tc>
        <w:tc>
          <w:tcPr>
            <w:tcW w:w="7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2FC7D0D">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b/>
                <w:i w:val="0"/>
                <w:iCs w:val="0"/>
                <w:caps w:val="0"/>
                <w:color w:val="0F1115"/>
                <w:spacing w:val="0"/>
                <w:sz w:val="18"/>
                <w:szCs w:val="18"/>
              </w:rPr>
            </w:pPr>
          </w:p>
        </w:tc>
        <w:tc>
          <w:tcPr>
            <w:tcW w:w="132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9680BD6">
            <w:pPr>
              <w:keepNext w:val="0"/>
              <w:keepLines w:val="0"/>
              <w:pageBreakBefore w:val="0"/>
              <w:widowControl w:val="0"/>
              <w:wordWrap/>
              <w:overflowPunct/>
              <w:topLinePunct w:val="0"/>
              <w:bidi w:val="0"/>
              <w:snapToGrid w:val="0"/>
              <w:ind w:left="0" w:leftChars="0" w:right="0" w:rightChars="0" w:firstLine="0" w:firstLineChars="0"/>
              <w:jc w:val="right"/>
              <w:rPr>
                <w:rFonts w:hint="default" w:ascii="Segoe UI" w:hAnsi="Segoe UI" w:eastAsia="Segoe UI" w:cs="Segoe UI"/>
                <w:b/>
                <w:i w:val="0"/>
                <w:iCs w:val="0"/>
                <w:caps w:val="0"/>
                <w:color w:val="0F1115"/>
                <w:spacing w:val="0"/>
                <w:sz w:val="18"/>
                <w:szCs w:val="18"/>
              </w:rPr>
            </w:pPr>
          </w:p>
        </w:tc>
        <w:tc>
          <w:tcPr>
            <w:tcW w:w="1320"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B8A1C7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¥197,000</w:t>
            </w:r>
          </w:p>
        </w:tc>
        <w:tc>
          <w:tcPr>
            <w:tcW w:w="179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78E398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此为初步估算，以实际采购为准</w:t>
            </w:r>
          </w:p>
        </w:tc>
      </w:tr>
    </w:tbl>
    <w:p w14:paraId="1CB20EA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1808"/>
      <w:r>
        <w:rPr>
          <w:rFonts w:hint="default"/>
          <w:lang w:val="en-US" w:eastAsia="zh-CN"/>
        </w:rPr>
        <w:t>风险与应对措施</w:t>
      </w:r>
      <w:bookmarkEnd w:id="15"/>
    </w:p>
    <w:p w14:paraId="0F3863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风险1：扩容期间服务中断。</w:t>
      </w:r>
    </w:p>
    <w:p w14:paraId="765AB6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所有操作均在业务低峰期进行，并制定完整的回滚预案。采用滚动升级、在线迁移等技术。</w:t>
      </w:r>
    </w:p>
    <w:p w14:paraId="7FC0B8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风险2：新旧硬件/软件兼容性问题。</w:t>
      </w:r>
    </w:p>
    <w:p w14:paraId="13086A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在测试环境进行充分的兼容性及压力测试。</w:t>
      </w:r>
    </w:p>
    <w:p w14:paraId="22EA5C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风险3：扩容后性能未达预期。</w:t>
      </w:r>
    </w:p>
    <w:p w14:paraId="344209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扩容后立即进行基准测试，并与扩容前数据进行对比分析，必要时进行参数调优。</w:t>
      </w:r>
    </w:p>
    <w:p w14:paraId="62B7065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4392"/>
      <w:r>
        <w:rPr>
          <w:rFonts w:hint="default"/>
          <w:lang w:val="en-US" w:eastAsia="zh-CN"/>
        </w:rPr>
        <w:t>结论与建议</w:t>
      </w:r>
      <w:bookmarkEnd w:id="16"/>
    </w:p>
    <w:p w14:paraId="652AA2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旨在系统性解决公司因业务快速发展而导致的核心数据基础设施容量瓶颈。建议优先批准并启动第一阶段的紧急扩容，以化解迫在眉睫的运行风险。同时，成立由数智运营部牵头，研究总院提供技术支撑的专项小组，负责本方案的具体落地与后续的常态化容量规划工作，为公司的规模化发展奠定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2EB0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0A16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1673</Words>
  <Characters>1946</Characters>
  <Lines>0</Lines>
  <Paragraphs>0</Paragraphs>
  <TotalTime>0</TotalTime>
  <ScaleCrop>false</ScaleCrop>
  <LinksUpToDate>false</LinksUpToDate>
  <CharactersWithSpaces>2052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2026-02-04T16:21:46Z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