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408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2602"/>
      <w:r>
        <w:rPr>
          <w:rFonts w:hint="eastAsia"/>
          <w:lang w:val="en-US" w:eastAsia="zh-CN"/>
        </w:rPr>
        <w:t>硬盘与Redis容量管理报告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18</w:t>
      </w:r>
      <w:bookmarkStart w:id="2" w:name="_GoBack"/>
      <w:bookmarkEnd w:id="2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_Toc16408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过程框架需求分析报告</w:t>
          </w:r>
          <w:r>
            <w:tab/>
          </w:r>
          <w:r>
            <w:fldChar w:fldCharType="begin"/>
          </w:r>
          <w:r>
            <w:instrText xml:space="preserve"> PAGEREF _Toc22602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制度框架与内容评审结论</w:t>
          </w:r>
          <w:r>
            <w:tab/>
          </w:r>
          <w:r>
            <w:fldChar w:fldCharType="begin"/>
          </w:r>
          <w:r>
            <w:instrText xml:space="preserve"> PAGEREF _Toc7838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框架完整性确认</w:t>
          </w:r>
          <w:r>
            <w:tab/>
          </w:r>
          <w:r>
            <w:fldChar w:fldCharType="begin"/>
          </w:r>
          <w:r>
            <w:instrText xml:space="preserve"> PAGEREF _Toc87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各制度评审要点与决议</w:t>
          </w:r>
          <w:r>
            <w:tab/>
          </w:r>
          <w:r>
            <w:fldChar w:fldCharType="begin"/>
          </w:r>
          <w:r>
            <w:instrText xml:space="preserve"> PAGEREF _Toc22722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关键接口与协同关系确认</w:t>
          </w:r>
          <w:r>
            <w:tab/>
          </w:r>
          <w:r>
            <w:fldChar w:fldCharType="begin"/>
          </w:r>
          <w:r>
            <w:instrText xml:space="preserve"> PAGEREF _Toc17325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角色与职责矩阵确认</w:t>
          </w:r>
          <w:r>
            <w:tab/>
          </w:r>
          <w:r>
            <w:fldChar w:fldCharType="begin"/>
          </w:r>
          <w:r>
            <w:instrText xml:space="preserve"> PAGEREF _Toc8086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发现的问题与行动项</w:t>
          </w:r>
          <w:r>
            <w:tab/>
          </w:r>
          <w:r>
            <w:fldChar w:fldCharType="begin"/>
          </w:r>
          <w:r>
            <w:instrText xml:space="preserve"> PAGEREF _Toc2636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后续工作计划</w:t>
          </w:r>
          <w:r>
            <w:tab/>
          </w:r>
          <w:r>
            <w:fldChar w:fldCharType="begin"/>
          </w:r>
          <w:r>
            <w:instrText xml:space="preserve"> PAGEREF _Toc4489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扩容工程概述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为有效支撑公司运维业务的高速增长，保障核心服务平台的稳定运行，根据《核心数据基础设施专项扩容方案》，公司于202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年第二季度起，分阶段对硬盘存储、数据库、Redis缓存集群及应用服务器内存进行了系统性扩容。本报告旨在总结本次扩容工程的实施情况、达成效果及后续运维要点。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扩容目标完成情况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本次扩容围绕“保障连续性、提升性能、优化成本”三大核心目标展开，各项关键指标达成情况如下：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2499"/>
        <w:gridCol w:w="1902"/>
        <w:gridCol w:w="1842"/>
        <w:gridCol w:w="116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1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扩容组件</w:t>
            </w:r>
          </w:p>
        </w:tc>
        <w:tc>
          <w:tcPr>
            <w:tcW w:w="24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目标指标</w:t>
            </w:r>
          </w:p>
        </w:tc>
        <w:tc>
          <w:tcPr>
            <w:tcW w:w="19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扩容前状态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扩容后状态</w:t>
            </w:r>
          </w:p>
        </w:tc>
        <w:tc>
          <w:tcPr>
            <w:tcW w:w="11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达成情况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硬盘存储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使用率降至70%以下，并满足12个月增长需求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总使用率82%，监控分区91%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总使用率58%，新架构弹性扩展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超额完成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连接数峰值利用率&lt;70%，查询P95响应时间优化20%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连接数峰值85%，P95响应时间1.2s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连接数峰值62%，P95响应时间0.8s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Redis集群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内存使用率稳定在65%以下，消除逐出告警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使用率&gt;80%，频繁告警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使用率60%，零逐出事件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应用服务器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消除SWAP使用，应用平均响应时间提升15%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SWAP使用率5-10%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SWAP使用率0%，响应时间提升18%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详细实施成果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第一阶段：紧急扩容（4月-5月）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采购并部署 30TB 高性能混合存储，优先解决监控日志分区爆满危机。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 Redis集群内存从64GB在线扩容至128GB，采用集群模式增加两个新节点。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4台核心应用服务器 进行内存升级（64GB → 128GB）。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高危存储告警在 48小时 内消除。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业务高峰期的Redis缓存命中率从88%提升至94%，会话丢失投诉降为零。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监控数据采集延迟降低40%。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第二阶段：架构优化（6月-9月）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数据库读写分离部署： 成功搭建1主2从架构，将报表查询、知识库检索等读操作引流至从库。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存储分层策略落地： 制定并执行数据生命周期策略，将超过90天的监控详细数据自动迁移至大容量SATA存储池，释放高性能存储空间。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Redis分片集群改造： 将原主从模式升级为官方的Cluster分片模式，数据分片分布在6个主节点上。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数据库主库写压力下降35%，从库资源利用率稳定在50%。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存储总体成本（TCO）估算优化约25%。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Redis集群的横向扩展能力与故障隔离性显著增强。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第三阶段：全面升级与收尾（10月-11月）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分布式存储（Ceph）试点部署：完成一个包含30TB可用容量的Ceph集群搭建，并开始承接非关键业务的温数据存储。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容量监控与预测模型建立：在统一监控平台中集成基础设施容量看板，实现对存储、内存、数据库增长趋势的预测分析。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文档与知识入库：将本次扩容的所有技术方案、操作手册、故障预案录入公司运维知识库。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为未来存储的“池化”管理与弹性扩展奠定了技术基础。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实现了从“被动响应告警”到“主动预测扩容”的运维模式转变。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性能与效益分析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性能提升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系统整体响应：核心运维平台（服务台、知识库）的平均页面加载时间缩短 22%。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数据处理能力：夜间批量作业（如日志分析、报表生成）的完成时间平均减少 33%。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并发支撑：已验证系统可稳定支持 50% 以上的并发用户增长，达到设计目标。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直接成本：本次扩容硬件及软件采购总投入约为18.5万元，控制在预算（19.7万元）范围内。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隐性收益：通过预防可能因容量不足导致的业务中断，估算规避潜在损失超过50万元。效率提升折算为人力节省，年化价值约20万元。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运维效能改进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告警减少：基础设施相关的P3/P4级告警数量下降 70%。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管理可视化：新的容量看板使资源规划决策更具数据支撑。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经验总结与后续建议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主要经验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分阶段、滚动实施的策略 有效控制了风险，保障了业务连续性。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“架构优化”与“单纯扩容”相结合，取得了比单纯增加硬件更好的长期效益。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前期充分的测试验证（尤其是Redis在线重分片和数据库主从切换）是成功的关键。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后续建议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常态化容量管理：建议每季度例行审查容量预测报告，将基础设施规划纳入公司年度预算流程。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技术债偿还：本次扩容暴露了部分老旧应用对资源规划不足的问题，建议由研究总院牵头，推动应用架构的现代化改造。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技能提升：建议组织关于“分布式存储管理”、“数据库深度调优”的内部分享或培训，提升整体团队的技术纵深。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核心数据基础设施扩容工程已按计划圆满完成，不仅解决了当前的容量危机，更通过架构优化提升了系统的整体弹性、性能与可运维性，为公司未来一到两年的业务发展提供了坚实可靠的基础设施保障。项目达到了预期目标，投资回报显著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1864</Words>
  <Characters>2098</Characters>
  <Application>Microsoft Office Word</Application>
  <DocSecurity>0</DocSecurity>
  <Lines>0</Lines>
  <Paragraphs>0</Paragraphs>
  <ScaleCrop>false</ScaleCrop>
  <Company/>
  <LinksUpToDate>false</LinksUpToDate>
  <CharactersWithSpaces>2155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2026-02-01T21:05:05Z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