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11570D">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5948"/>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0F38ADF7">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30063"/>
      <w:r>
        <w:rPr>
          <w:rFonts w:hint="eastAsia"/>
          <w:lang w:val="en-US" w:eastAsia="zh-CN"/>
        </w:rPr>
        <w:t>运维服务技术研发规划</w:t>
      </w:r>
      <w:bookmarkEnd w:id="1"/>
    </w:p>
    <w:p w14:paraId="1691DDB5">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7</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29903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jc w:val="center"/>
        </w:trPr>
        <w:tc>
          <w:tcPr>
            <w:tcW w:w="2432" w:type="dxa"/>
          </w:tcPr>
          <w:p w14:paraId="322D6E9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研究总院</w:t>
            </w:r>
          </w:p>
        </w:tc>
        <w:tc>
          <w:tcPr>
            <w:tcW w:w="2708" w:type="dxa"/>
          </w:tcPr>
          <w:p w14:paraId="7C39A46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011ED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41B6AB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0EBCEF0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18348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0F50B21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1C1BAF4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6D288CA4">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11D55FE9">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2E1B66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478F17E4">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1CD94CDD">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7B24488D">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1D10464">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05121B9A">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4473AEC2">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2614E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64CCA6B1">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72" w:type="dxa"/>
          </w:tcPr>
          <w:p w14:paraId="13707A5C">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5C2E8688">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36095807">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熊发云</w:t>
            </w:r>
          </w:p>
        </w:tc>
        <w:tc>
          <w:tcPr>
            <w:tcW w:w="1606" w:type="dxa"/>
          </w:tcPr>
          <w:p w14:paraId="7BA3B6FD">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776FD4E8">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67CDAF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47D627E9">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0A54036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471EAEC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05D0C96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51496EFA">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530E84F2">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2895DA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47C8B0C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4E61306B">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75319250">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1E75720D">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5498071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18039631">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5D3730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41E2307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6FDF87E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0745236E">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3D240D47">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51857CCC">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6D7BE523">
            <w:pPr>
              <w:pStyle w:val="27"/>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4190D565">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2C14980F">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1FA6FC45">
          <w:pPr>
            <w:pStyle w:val="16"/>
            <w:tabs>
              <w:tab w:val="right" w:leader="dot" w:pos="8306"/>
            </w:tabs>
          </w:pPr>
          <w:bookmarkStart w:id="21" w:name="_GoBack"/>
          <w:bookmarkEnd w:id="21"/>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_Toc25948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_Toc25948 \h </w:instrText>
          </w:r>
          <w:r>
            <w:fldChar w:fldCharType="separate"/>
          </w:r>
          <w:r>
            <w:t>1</w:t>
          </w:r>
          <w:r>
            <w:fldChar w:fldCharType="end"/>
          </w:r>
          <w:r>
            <w:rPr>
              <w:rFonts w:hint="eastAsia" w:ascii="宋体" w:hAnsi="宋体" w:eastAsia="宋体" w:cs="宋体"/>
              <w:szCs w:val="24"/>
            </w:rPr>
            <w:fldChar w:fldCharType="end"/>
          </w:r>
        </w:p>
        <w:p w14:paraId="4161F6F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_Toc30063 </w:instrText>
          </w:r>
          <w:r>
            <w:rPr>
              <w:rFonts w:hint="eastAsia" w:ascii="宋体" w:hAnsi="宋体" w:eastAsia="宋体" w:cs="宋体"/>
              <w:szCs w:val="24"/>
            </w:rPr>
            <w:fldChar w:fldCharType="separate"/>
          </w:r>
          <w:r>
            <w:rPr>
              <w:rFonts w:hint="eastAsia"/>
              <w:lang w:val="en-US" w:eastAsia="zh-CN"/>
            </w:rPr>
            <w:t>运维服务技术研发规划</w:t>
          </w:r>
          <w:r>
            <w:tab/>
          </w:r>
          <w:r>
            <w:fldChar w:fldCharType="begin"/>
          </w:r>
          <w:r>
            <w:instrText xml:space="preserve"> PAGEREF _Toc30063 \h </w:instrText>
          </w:r>
          <w:r>
            <w:fldChar w:fldCharType="separate"/>
          </w:r>
          <w:r>
            <w:t>1</w:t>
          </w:r>
          <w:r>
            <w:fldChar w:fldCharType="end"/>
          </w:r>
          <w:r>
            <w:rPr>
              <w:rFonts w:hint="eastAsia" w:ascii="宋体" w:hAnsi="宋体" w:eastAsia="宋体" w:cs="宋体"/>
              <w:szCs w:val="24"/>
            </w:rPr>
            <w:fldChar w:fldCharType="end"/>
          </w:r>
        </w:p>
        <w:p w14:paraId="440CB0B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_Toc12640 </w:instrText>
          </w:r>
          <w:r>
            <w:rPr>
              <w:rFonts w:hint="eastAsia" w:ascii="宋体" w:hAnsi="宋体" w:eastAsia="宋体" w:cs="宋体"/>
              <w:szCs w:val="24"/>
            </w:rPr>
            <w:fldChar w:fldCharType="separate"/>
          </w:r>
          <w:r>
            <w:rPr>
              <w:rFonts w:hint="default"/>
              <w:lang w:val="en-US" w:eastAsia="zh-CN"/>
            </w:rPr>
            <w:t>1. 概述</w:t>
          </w:r>
          <w:r>
            <w:tab/>
          </w:r>
          <w:r>
            <w:fldChar w:fldCharType="begin"/>
          </w:r>
          <w:r>
            <w:instrText xml:space="preserve"> PAGEREF _Toc12640 \h </w:instrText>
          </w:r>
          <w:r>
            <w:fldChar w:fldCharType="separate"/>
          </w:r>
          <w:r>
            <w:t>4</w:t>
          </w:r>
          <w:r>
            <w:fldChar w:fldCharType="end"/>
          </w:r>
          <w:r>
            <w:rPr>
              <w:rFonts w:hint="eastAsia" w:ascii="宋体" w:hAnsi="宋体" w:eastAsia="宋体" w:cs="宋体"/>
              <w:szCs w:val="24"/>
            </w:rPr>
            <w:fldChar w:fldCharType="end"/>
          </w:r>
        </w:p>
        <w:p w14:paraId="0B3FF96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_Toc22146 </w:instrText>
          </w:r>
          <w:r>
            <w:rPr>
              <w:rFonts w:hint="eastAsia" w:ascii="宋体" w:hAnsi="宋体" w:eastAsia="宋体" w:cs="宋体"/>
              <w:szCs w:val="24"/>
            </w:rPr>
            <w:fldChar w:fldCharType="separate"/>
          </w:r>
          <w:r>
            <w:rPr>
              <w:rFonts w:hint="default"/>
              <w:lang w:val="en-US" w:eastAsia="zh-CN"/>
            </w:rPr>
            <w:t>2. 总体规划</w:t>
          </w:r>
          <w:r>
            <w:tab/>
          </w:r>
          <w:r>
            <w:fldChar w:fldCharType="begin"/>
          </w:r>
          <w:r>
            <w:instrText xml:space="preserve"> PAGEREF _Toc22146 \h </w:instrText>
          </w:r>
          <w:r>
            <w:fldChar w:fldCharType="separate"/>
          </w:r>
          <w:r>
            <w:t>4</w:t>
          </w:r>
          <w:r>
            <w:fldChar w:fldCharType="end"/>
          </w:r>
          <w:r>
            <w:rPr>
              <w:rFonts w:hint="eastAsia" w:ascii="宋体" w:hAnsi="宋体" w:eastAsia="宋体" w:cs="宋体"/>
              <w:szCs w:val="24"/>
            </w:rPr>
            <w:fldChar w:fldCharType="end"/>
          </w:r>
        </w:p>
        <w:p w14:paraId="2B8E68E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_Toc17387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翔云-服务价值台研发</w:t>
          </w:r>
          <w:r>
            <w:tab/>
          </w:r>
          <w:r>
            <w:fldChar w:fldCharType="begin"/>
          </w:r>
          <w:r>
            <w:instrText xml:space="preserve"> PAGEREF _Toc17387 \h </w:instrText>
          </w:r>
          <w:r>
            <w:fldChar w:fldCharType="separate"/>
          </w:r>
          <w:r>
            <w:t>4</w:t>
          </w:r>
          <w:r>
            <w:fldChar w:fldCharType="end"/>
          </w:r>
          <w:r>
            <w:rPr>
              <w:rFonts w:hint="eastAsia" w:ascii="宋体" w:hAnsi="宋体" w:eastAsia="宋体" w:cs="宋体"/>
              <w:szCs w:val="24"/>
            </w:rPr>
            <w:fldChar w:fldCharType="end"/>
          </w:r>
        </w:p>
        <w:p w14:paraId="2E46505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_Toc28215 </w:instrText>
          </w:r>
          <w:r>
            <w:rPr>
              <w:rFonts w:hint="eastAsia" w:ascii="宋体" w:hAnsi="宋体" w:eastAsia="宋体" w:cs="宋体"/>
              <w:szCs w:val="24"/>
            </w:rPr>
            <w:fldChar w:fldCharType="separate"/>
          </w:r>
          <w:r>
            <w:rPr>
              <w:rFonts w:hint="default"/>
              <w:lang w:val="en-US" w:eastAsia="zh-CN"/>
            </w:rPr>
            <w:t>3.1. 研发目标</w:t>
          </w:r>
          <w:r>
            <w:tab/>
          </w:r>
          <w:r>
            <w:fldChar w:fldCharType="begin"/>
          </w:r>
          <w:r>
            <w:instrText xml:space="preserve"> PAGEREF _Toc28215 \h </w:instrText>
          </w:r>
          <w:r>
            <w:fldChar w:fldCharType="separate"/>
          </w:r>
          <w:r>
            <w:t>4</w:t>
          </w:r>
          <w:r>
            <w:fldChar w:fldCharType="end"/>
          </w:r>
          <w:r>
            <w:rPr>
              <w:rFonts w:hint="eastAsia" w:ascii="宋体" w:hAnsi="宋体" w:eastAsia="宋体" w:cs="宋体"/>
              <w:szCs w:val="24"/>
            </w:rPr>
            <w:fldChar w:fldCharType="end"/>
          </w:r>
        </w:p>
        <w:p w14:paraId="6575120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_Toc15595 </w:instrText>
          </w:r>
          <w:r>
            <w:rPr>
              <w:rFonts w:hint="eastAsia" w:ascii="宋体" w:hAnsi="宋体" w:eastAsia="宋体" w:cs="宋体"/>
              <w:szCs w:val="24"/>
            </w:rPr>
            <w:fldChar w:fldCharType="separate"/>
          </w:r>
          <w:r>
            <w:rPr>
              <w:rFonts w:hint="default"/>
              <w:lang w:val="en-US" w:eastAsia="zh-CN"/>
            </w:rPr>
            <w:t>3.2. 研发内容</w:t>
          </w:r>
          <w:r>
            <w:tab/>
          </w:r>
          <w:r>
            <w:fldChar w:fldCharType="begin"/>
          </w:r>
          <w:r>
            <w:instrText xml:space="preserve"> PAGEREF _Toc15595 \h </w:instrText>
          </w:r>
          <w:r>
            <w:fldChar w:fldCharType="separate"/>
          </w:r>
          <w:r>
            <w:t>5</w:t>
          </w:r>
          <w:r>
            <w:fldChar w:fldCharType="end"/>
          </w:r>
          <w:r>
            <w:rPr>
              <w:rFonts w:hint="eastAsia" w:ascii="宋体" w:hAnsi="宋体" w:eastAsia="宋体" w:cs="宋体"/>
              <w:szCs w:val="24"/>
            </w:rPr>
            <w:fldChar w:fldCharType="end"/>
          </w:r>
        </w:p>
        <w:p w14:paraId="5E87308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_Toc14451 </w:instrText>
          </w:r>
          <w:r>
            <w:rPr>
              <w:rFonts w:hint="eastAsia" w:ascii="宋体" w:hAnsi="宋体" w:eastAsia="宋体" w:cs="宋体"/>
              <w:szCs w:val="24"/>
            </w:rPr>
            <w:fldChar w:fldCharType="separate"/>
          </w:r>
          <w:r>
            <w:rPr>
              <w:rFonts w:hint="default"/>
              <w:lang w:val="en-US" w:eastAsia="zh-CN"/>
            </w:rPr>
            <w:t>3.2.1. 服务知识管理模块</w:t>
          </w:r>
          <w:r>
            <w:tab/>
          </w:r>
          <w:r>
            <w:fldChar w:fldCharType="begin"/>
          </w:r>
          <w:r>
            <w:instrText xml:space="preserve"> PAGEREF _Toc14451 \h </w:instrText>
          </w:r>
          <w:r>
            <w:fldChar w:fldCharType="separate"/>
          </w:r>
          <w:r>
            <w:t>5</w:t>
          </w:r>
          <w:r>
            <w:fldChar w:fldCharType="end"/>
          </w:r>
          <w:r>
            <w:rPr>
              <w:rFonts w:hint="eastAsia" w:ascii="宋体" w:hAnsi="宋体" w:eastAsia="宋体" w:cs="宋体"/>
              <w:szCs w:val="24"/>
            </w:rPr>
            <w:fldChar w:fldCharType="end"/>
          </w:r>
        </w:p>
        <w:p w14:paraId="3DD3EDE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_Toc23967 </w:instrText>
          </w:r>
          <w:r>
            <w:rPr>
              <w:rFonts w:hint="eastAsia" w:ascii="宋体" w:hAnsi="宋体" w:eastAsia="宋体" w:cs="宋体"/>
              <w:szCs w:val="24"/>
            </w:rPr>
            <w:fldChar w:fldCharType="separate"/>
          </w:r>
          <w:r>
            <w:rPr>
              <w:rFonts w:hint="default"/>
              <w:lang w:val="en-US" w:eastAsia="zh-CN"/>
            </w:rPr>
            <w:t>3.2.2. 客户满意度</w:t>
          </w:r>
          <w:r>
            <w:rPr>
              <w:rFonts w:hint="eastAsia"/>
              <w:lang w:val="en-US" w:eastAsia="zh-CN"/>
            </w:rPr>
            <w:t>调查</w:t>
          </w:r>
          <w:r>
            <w:rPr>
              <w:rFonts w:hint="default"/>
              <w:lang w:val="en-US" w:eastAsia="zh-CN"/>
            </w:rPr>
            <w:t>模块</w:t>
          </w:r>
          <w:r>
            <w:tab/>
          </w:r>
          <w:r>
            <w:fldChar w:fldCharType="begin"/>
          </w:r>
          <w:r>
            <w:instrText xml:space="preserve"> PAGEREF _Toc23967 \h </w:instrText>
          </w:r>
          <w:r>
            <w:fldChar w:fldCharType="separate"/>
          </w:r>
          <w:r>
            <w:t>5</w:t>
          </w:r>
          <w:r>
            <w:fldChar w:fldCharType="end"/>
          </w:r>
          <w:r>
            <w:rPr>
              <w:rFonts w:hint="eastAsia" w:ascii="宋体" w:hAnsi="宋体" w:eastAsia="宋体" w:cs="宋体"/>
              <w:szCs w:val="24"/>
            </w:rPr>
            <w:fldChar w:fldCharType="end"/>
          </w:r>
        </w:p>
        <w:p w14:paraId="03426C5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_Toc31424 </w:instrText>
          </w:r>
          <w:r>
            <w:rPr>
              <w:rFonts w:hint="eastAsia" w:ascii="宋体" w:hAnsi="宋体" w:eastAsia="宋体" w:cs="宋体"/>
              <w:szCs w:val="24"/>
            </w:rPr>
            <w:fldChar w:fldCharType="separate"/>
          </w:r>
          <w:r>
            <w:rPr>
              <w:rFonts w:hint="default"/>
              <w:lang w:val="en-US" w:eastAsia="zh-CN"/>
            </w:rPr>
            <w:t>3.3. 研发团队</w:t>
          </w:r>
          <w:r>
            <w:tab/>
          </w:r>
          <w:r>
            <w:fldChar w:fldCharType="begin"/>
          </w:r>
          <w:r>
            <w:instrText xml:space="preserve"> PAGEREF _Toc31424 \h </w:instrText>
          </w:r>
          <w:r>
            <w:fldChar w:fldCharType="separate"/>
          </w:r>
          <w:r>
            <w:t>5</w:t>
          </w:r>
          <w:r>
            <w:fldChar w:fldCharType="end"/>
          </w:r>
          <w:r>
            <w:rPr>
              <w:rFonts w:hint="eastAsia" w:ascii="宋体" w:hAnsi="宋体" w:eastAsia="宋体" w:cs="宋体"/>
              <w:szCs w:val="24"/>
            </w:rPr>
            <w:fldChar w:fldCharType="end"/>
          </w:r>
        </w:p>
        <w:p w14:paraId="0660A31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_Toc16802 </w:instrText>
          </w:r>
          <w:r>
            <w:rPr>
              <w:rFonts w:hint="eastAsia" w:ascii="宋体" w:hAnsi="宋体" w:eastAsia="宋体" w:cs="宋体"/>
              <w:szCs w:val="24"/>
            </w:rPr>
            <w:fldChar w:fldCharType="separate"/>
          </w:r>
          <w:r>
            <w:rPr>
              <w:rFonts w:hint="default"/>
              <w:lang w:val="en-US" w:eastAsia="zh-CN"/>
            </w:rPr>
            <w:t>3.4. 研发环境</w:t>
          </w:r>
          <w:r>
            <w:tab/>
          </w:r>
          <w:r>
            <w:fldChar w:fldCharType="begin"/>
          </w:r>
          <w:r>
            <w:instrText xml:space="preserve"> PAGEREF _Toc16802 \h </w:instrText>
          </w:r>
          <w:r>
            <w:fldChar w:fldCharType="separate"/>
          </w:r>
          <w:r>
            <w:t>6</w:t>
          </w:r>
          <w:r>
            <w:fldChar w:fldCharType="end"/>
          </w:r>
          <w:r>
            <w:rPr>
              <w:rFonts w:hint="eastAsia" w:ascii="宋体" w:hAnsi="宋体" w:eastAsia="宋体" w:cs="宋体"/>
              <w:szCs w:val="24"/>
            </w:rPr>
            <w:fldChar w:fldCharType="end"/>
          </w:r>
        </w:p>
        <w:p w14:paraId="385A4AF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_Toc1433 </w:instrText>
          </w:r>
          <w:r>
            <w:rPr>
              <w:rFonts w:hint="eastAsia" w:ascii="宋体" w:hAnsi="宋体" w:eastAsia="宋体" w:cs="宋体"/>
              <w:szCs w:val="24"/>
            </w:rPr>
            <w:fldChar w:fldCharType="separate"/>
          </w:r>
          <w:r>
            <w:rPr>
              <w:rFonts w:hint="default"/>
              <w:lang w:val="en-US" w:eastAsia="zh-CN"/>
            </w:rPr>
            <w:t>3.5. 研发进度</w:t>
          </w:r>
          <w:r>
            <w:tab/>
          </w:r>
          <w:r>
            <w:fldChar w:fldCharType="begin"/>
          </w:r>
          <w:r>
            <w:instrText xml:space="preserve"> PAGEREF _Toc1433 \h </w:instrText>
          </w:r>
          <w:r>
            <w:fldChar w:fldCharType="separate"/>
          </w:r>
          <w:r>
            <w:t>6</w:t>
          </w:r>
          <w:r>
            <w:fldChar w:fldCharType="end"/>
          </w:r>
          <w:r>
            <w:rPr>
              <w:rFonts w:hint="eastAsia" w:ascii="宋体" w:hAnsi="宋体" w:eastAsia="宋体" w:cs="宋体"/>
              <w:szCs w:val="24"/>
            </w:rPr>
            <w:fldChar w:fldCharType="end"/>
          </w:r>
        </w:p>
        <w:p w14:paraId="7709161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_Toc21900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运维手册研发</w:t>
          </w:r>
          <w:r>
            <w:tab/>
          </w:r>
          <w:r>
            <w:fldChar w:fldCharType="begin"/>
          </w:r>
          <w:r>
            <w:instrText xml:space="preserve"> PAGEREF _Toc21900 \h </w:instrText>
          </w:r>
          <w:r>
            <w:fldChar w:fldCharType="separate"/>
          </w:r>
          <w:r>
            <w:t>7</w:t>
          </w:r>
          <w:r>
            <w:fldChar w:fldCharType="end"/>
          </w:r>
          <w:r>
            <w:rPr>
              <w:rFonts w:hint="eastAsia" w:ascii="宋体" w:hAnsi="宋体" w:eastAsia="宋体" w:cs="宋体"/>
              <w:szCs w:val="24"/>
            </w:rPr>
            <w:fldChar w:fldCharType="end"/>
          </w:r>
        </w:p>
        <w:p w14:paraId="65E6B73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_Toc8478 </w:instrText>
          </w:r>
          <w:r>
            <w:rPr>
              <w:rFonts w:hint="eastAsia" w:ascii="宋体" w:hAnsi="宋体" w:eastAsia="宋体" w:cs="宋体"/>
              <w:szCs w:val="24"/>
            </w:rPr>
            <w:fldChar w:fldCharType="separate"/>
          </w:r>
          <w:r>
            <w:rPr>
              <w:rFonts w:hint="default"/>
              <w:lang w:val="en-US" w:eastAsia="zh-CN"/>
            </w:rPr>
            <w:t>4.1. 现状分析</w:t>
          </w:r>
          <w:r>
            <w:tab/>
          </w:r>
          <w:r>
            <w:fldChar w:fldCharType="begin"/>
          </w:r>
          <w:r>
            <w:instrText xml:space="preserve"> PAGEREF _Toc8478 \h </w:instrText>
          </w:r>
          <w:r>
            <w:fldChar w:fldCharType="separate"/>
          </w:r>
          <w:r>
            <w:t>7</w:t>
          </w:r>
          <w:r>
            <w:fldChar w:fldCharType="end"/>
          </w:r>
          <w:r>
            <w:rPr>
              <w:rFonts w:hint="eastAsia" w:ascii="宋体" w:hAnsi="宋体" w:eastAsia="宋体" w:cs="宋体"/>
              <w:szCs w:val="24"/>
            </w:rPr>
            <w:fldChar w:fldCharType="end"/>
          </w:r>
        </w:p>
        <w:p w14:paraId="19447A2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_Toc8022 </w:instrText>
          </w:r>
          <w:r>
            <w:rPr>
              <w:rFonts w:hint="eastAsia" w:ascii="宋体" w:hAnsi="宋体" w:eastAsia="宋体" w:cs="宋体"/>
              <w:szCs w:val="24"/>
            </w:rPr>
            <w:fldChar w:fldCharType="separate"/>
          </w:r>
          <w:r>
            <w:rPr>
              <w:rFonts w:hint="default"/>
              <w:lang w:val="en-US" w:eastAsia="zh-CN"/>
            </w:rPr>
            <w:t>4.2. 研发必要性</w:t>
          </w:r>
          <w:r>
            <w:tab/>
          </w:r>
          <w:r>
            <w:fldChar w:fldCharType="begin"/>
          </w:r>
          <w:r>
            <w:instrText xml:space="preserve"> PAGEREF _Toc8022 \h </w:instrText>
          </w:r>
          <w:r>
            <w:fldChar w:fldCharType="separate"/>
          </w:r>
          <w:r>
            <w:t>7</w:t>
          </w:r>
          <w:r>
            <w:fldChar w:fldCharType="end"/>
          </w:r>
          <w:r>
            <w:rPr>
              <w:rFonts w:hint="eastAsia" w:ascii="宋体" w:hAnsi="宋体" w:eastAsia="宋体" w:cs="宋体"/>
              <w:szCs w:val="24"/>
            </w:rPr>
            <w:fldChar w:fldCharType="end"/>
          </w:r>
        </w:p>
        <w:p w14:paraId="09C85A3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_Toc2130 </w:instrText>
          </w:r>
          <w:r>
            <w:rPr>
              <w:rFonts w:hint="eastAsia" w:ascii="宋体" w:hAnsi="宋体" w:eastAsia="宋体" w:cs="宋体"/>
              <w:szCs w:val="24"/>
            </w:rPr>
            <w:fldChar w:fldCharType="separate"/>
          </w:r>
          <w:r>
            <w:rPr>
              <w:rFonts w:hint="default"/>
              <w:lang w:val="en-US" w:eastAsia="zh-CN"/>
            </w:rPr>
            <w:t>4.3. 手册研发计划</w:t>
          </w:r>
          <w:r>
            <w:tab/>
          </w:r>
          <w:r>
            <w:fldChar w:fldCharType="begin"/>
          </w:r>
          <w:r>
            <w:instrText xml:space="preserve"> PAGEREF _Toc2130 \h </w:instrText>
          </w:r>
          <w:r>
            <w:fldChar w:fldCharType="separate"/>
          </w:r>
          <w:r>
            <w:t>8</w:t>
          </w:r>
          <w:r>
            <w:fldChar w:fldCharType="end"/>
          </w:r>
          <w:r>
            <w:rPr>
              <w:rFonts w:hint="eastAsia" w:ascii="宋体" w:hAnsi="宋体" w:eastAsia="宋体" w:cs="宋体"/>
              <w:szCs w:val="24"/>
            </w:rPr>
            <w:fldChar w:fldCharType="end"/>
          </w:r>
        </w:p>
        <w:p w14:paraId="54B7B98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_Toc20260 </w:instrText>
          </w:r>
          <w:r>
            <w:rPr>
              <w:rFonts w:hint="eastAsia" w:ascii="宋体" w:hAnsi="宋体" w:eastAsia="宋体" w:cs="宋体"/>
              <w:szCs w:val="24"/>
            </w:rPr>
            <w:fldChar w:fldCharType="separate"/>
          </w:r>
          <w:r>
            <w:rPr>
              <w:rFonts w:hint="default"/>
              <w:lang w:val="en-US" w:eastAsia="zh-CN"/>
            </w:rPr>
            <w:t>5. 新技术研发规划</w:t>
          </w:r>
          <w:r>
            <w:tab/>
          </w:r>
          <w:r>
            <w:fldChar w:fldCharType="begin"/>
          </w:r>
          <w:r>
            <w:instrText xml:space="preserve"> PAGEREF _Toc20260 \h </w:instrText>
          </w:r>
          <w:r>
            <w:fldChar w:fldCharType="separate"/>
          </w:r>
          <w:r>
            <w:t>8</w:t>
          </w:r>
          <w:r>
            <w:fldChar w:fldCharType="end"/>
          </w:r>
          <w:r>
            <w:rPr>
              <w:rFonts w:hint="eastAsia" w:ascii="宋体" w:hAnsi="宋体" w:eastAsia="宋体" w:cs="宋体"/>
              <w:szCs w:val="24"/>
            </w:rPr>
            <w:fldChar w:fldCharType="end"/>
          </w:r>
        </w:p>
        <w:p w14:paraId="4502CD4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_Toc12109 </w:instrText>
          </w:r>
          <w:r>
            <w:rPr>
              <w:rFonts w:hint="eastAsia" w:ascii="宋体" w:hAnsi="宋体" w:eastAsia="宋体" w:cs="宋体"/>
              <w:szCs w:val="24"/>
            </w:rPr>
            <w:fldChar w:fldCharType="separate"/>
          </w:r>
          <w:r>
            <w:rPr>
              <w:rFonts w:hint="default"/>
              <w:lang w:val="en-US" w:eastAsia="zh-CN"/>
            </w:rPr>
            <w:t>5.1. 研发方向与目标</w:t>
          </w:r>
          <w:r>
            <w:tab/>
          </w:r>
          <w:r>
            <w:fldChar w:fldCharType="begin"/>
          </w:r>
          <w:r>
            <w:instrText xml:space="preserve"> PAGEREF _Toc12109 \h </w:instrText>
          </w:r>
          <w:r>
            <w:fldChar w:fldCharType="separate"/>
          </w:r>
          <w:r>
            <w:t>9</w:t>
          </w:r>
          <w:r>
            <w:fldChar w:fldCharType="end"/>
          </w:r>
          <w:r>
            <w:rPr>
              <w:rFonts w:hint="eastAsia" w:ascii="宋体" w:hAnsi="宋体" w:eastAsia="宋体" w:cs="宋体"/>
              <w:szCs w:val="24"/>
            </w:rPr>
            <w:fldChar w:fldCharType="end"/>
          </w:r>
        </w:p>
        <w:p w14:paraId="41ED828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_Toc807 </w:instrText>
          </w:r>
          <w:r>
            <w:rPr>
              <w:rFonts w:hint="eastAsia" w:ascii="宋体" w:hAnsi="宋体" w:eastAsia="宋体" w:cs="宋体"/>
              <w:szCs w:val="24"/>
            </w:rPr>
            <w:fldChar w:fldCharType="separate"/>
          </w:r>
          <w:r>
            <w:rPr>
              <w:rFonts w:hint="default"/>
              <w:lang w:val="en-US" w:eastAsia="zh-CN"/>
            </w:rPr>
            <w:t>5.2. 实施路径</w:t>
          </w:r>
          <w:r>
            <w:tab/>
          </w:r>
          <w:r>
            <w:fldChar w:fldCharType="begin"/>
          </w:r>
          <w:r>
            <w:instrText xml:space="preserve"> PAGEREF _Toc807 \h </w:instrText>
          </w:r>
          <w:r>
            <w:fldChar w:fldCharType="separate"/>
          </w:r>
          <w:r>
            <w:t>9</w:t>
          </w:r>
          <w:r>
            <w:fldChar w:fldCharType="end"/>
          </w:r>
          <w:r>
            <w:rPr>
              <w:rFonts w:hint="eastAsia" w:ascii="宋体" w:hAnsi="宋体" w:eastAsia="宋体" w:cs="宋体"/>
              <w:szCs w:val="24"/>
            </w:rPr>
            <w:fldChar w:fldCharType="end"/>
          </w:r>
        </w:p>
        <w:p w14:paraId="0491542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_Toc13325 </w:instrText>
          </w:r>
          <w:r>
            <w:rPr>
              <w:rFonts w:hint="eastAsia" w:ascii="宋体" w:hAnsi="宋体" w:eastAsia="宋体" w:cs="宋体"/>
              <w:szCs w:val="24"/>
            </w:rPr>
            <w:fldChar w:fldCharType="separate"/>
          </w:r>
          <w:r>
            <w:rPr>
              <w:rFonts w:hint="default"/>
              <w:lang w:val="en-US" w:eastAsia="zh-CN"/>
            </w:rPr>
            <w:t>5.3. 资源投入</w:t>
          </w:r>
          <w:r>
            <w:tab/>
          </w:r>
          <w:r>
            <w:fldChar w:fldCharType="begin"/>
          </w:r>
          <w:r>
            <w:instrText xml:space="preserve"> PAGEREF _Toc13325 \h </w:instrText>
          </w:r>
          <w:r>
            <w:fldChar w:fldCharType="separate"/>
          </w:r>
          <w:r>
            <w:t>9</w:t>
          </w:r>
          <w:r>
            <w:fldChar w:fldCharType="end"/>
          </w:r>
          <w:r>
            <w:rPr>
              <w:rFonts w:hint="eastAsia" w:ascii="宋体" w:hAnsi="宋体" w:eastAsia="宋体" w:cs="宋体"/>
              <w:szCs w:val="24"/>
            </w:rPr>
            <w:fldChar w:fldCharType="end"/>
          </w:r>
        </w:p>
        <w:p w14:paraId="7326FFB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_Toc16299 </w:instrText>
          </w:r>
          <w:r>
            <w:rPr>
              <w:rFonts w:hint="eastAsia" w:ascii="宋体" w:hAnsi="宋体" w:eastAsia="宋体" w:cs="宋体"/>
              <w:szCs w:val="24"/>
            </w:rPr>
            <w:fldChar w:fldCharType="separate"/>
          </w:r>
          <w:r>
            <w:rPr>
              <w:rFonts w:hint="default"/>
              <w:lang w:val="en-US" w:eastAsia="zh-CN"/>
            </w:rPr>
            <w:t>6. 资源与经费</w:t>
          </w:r>
          <w:r>
            <w:tab/>
          </w:r>
          <w:r>
            <w:fldChar w:fldCharType="begin"/>
          </w:r>
          <w:r>
            <w:instrText xml:space="preserve"> PAGEREF _Toc16299 \h </w:instrText>
          </w:r>
          <w:r>
            <w:fldChar w:fldCharType="separate"/>
          </w:r>
          <w:r>
            <w:t>9</w:t>
          </w:r>
          <w:r>
            <w:fldChar w:fldCharType="end"/>
          </w:r>
          <w:r>
            <w:rPr>
              <w:rFonts w:hint="eastAsia" w:ascii="宋体" w:hAnsi="宋体" w:eastAsia="宋体" w:cs="宋体"/>
              <w:szCs w:val="24"/>
            </w:rPr>
            <w:fldChar w:fldCharType="end"/>
          </w:r>
        </w:p>
        <w:p w14:paraId="45C512EE">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759200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095F1EC">
      <w:pPr>
        <w:pStyle w:val="28"/>
        <w:bidi w:val="0"/>
        <w:rPr>
          <w:rFonts w:hint="default"/>
          <w:lang w:val="en-US" w:eastAsia="zh-CN"/>
        </w:rPr>
      </w:pPr>
      <w:bookmarkStart w:id="2" w:name="_Toc12640"/>
      <w:r>
        <w:rPr>
          <w:rFonts w:hint="default"/>
          <w:lang w:val="en-US" w:eastAsia="zh-CN"/>
        </w:rPr>
        <w:t>概述</w:t>
      </w:r>
      <w:bookmarkEnd w:id="2"/>
    </w:p>
    <w:p w14:paraId="3876CDF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贯彻落实公司向"数智运营"转型的战略要求，系统性地提升运维服务的智能化水平、运营效率与客户感知价值，特制定本技术研发规划。基于公司现有服务管理基础，规划聚焦于信息触达、体验反馈、知识复用及自动化提升等关键环节，通过定向技术研发构建智能运维能力体系，赋能一线服务团队，优化管理决策，推动运维服务从"保障运行"向"创造价值"升级。</w:t>
      </w:r>
    </w:p>
    <w:p w14:paraId="1CF1F1E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本规划面向公司管理层、数智运营部、研究总院、质量管理部及人力部等相关单位与项目组成员。</w:t>
      </w:r>
    </w:p>
    <w:p w14:paraId="13EFF15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2146"/>
      <w:r>
        <w:rPr>
          <w:rFonts w:hint="default"/>
          <w:lang w:val="en-US" w:eastAsia="zh-CN"/>
        </w:rPr>
        <w:t>总体规划</w:t>
      </w:r>
      <w:bookmarkEnd w:id="3"/>
    </w:p>
    <w:p w14:paraId="79A9C05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本规划聚焦运维服务核心环节，2025年度重点推进三大研发项目，构建"管理智能、知识内嵌、操作自动"的协同能力：</w:t>
      </w:r>
    </w:p>
    <w:p w14:paraId="6203D6F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智能服务管理与分析平台：作为核心枢纽，重构信息发布、满意度反馈与服务价值呈现机制，实现管理指令精准触达与服务体验实时感知。</w:t>
      </w:r>
    </w:p>
    <w:p w14:paraId="1970FCC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场景化知识库与智能辅助系统：将静态知识转化为动态助手，深度嵌入运维工作流，为一线人员提供即时的决策支持与操作指导。</w:t>
      </w:r>
    </w:p>
    <w:p w14:paraId="2345DD8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运维自动化工具链：通过自动化工作流引擎，将重复性、标准化操作自动化，提升服务响应的一致性与效率。</w:t>
      </w:r>
    </w:p>
    <w:p w14:paraId="20FD6AF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上述项目分阶段实施，相互支撑，共同构建公司"数智运维"能力的技术基座。</w:t>
      </w:r>
    </w:p>
    <w:p w14:paraId="22AEEF30">
      <w:pPr>
        <w:pStyle w:val="28"/>
        <w:bidi w:val="0"/>
        <w:rPr>
          <w:rFonts w:hint="default"/>
          <w:lang w:val="en-US" w:eastAsia="zh-CN"/>
        </w:rPr>
      </w:pPr>
      <w:bookmarkStart w:id="4" w:name="_Toc17387"/>
      <w:r>
        <w:rPr>
          <w:rFonts w:hint="eastAsia"/>
          <w:lang w:val="en-US" w:eastAsia="zh-CN"/>
        </w:rPr>
        <w:t>翔云-服务价值台研发</w:t>
      </w:r>
      <w:bookmarkEnd w:id="4"/>
      <w:r>
        <w:rPr>
          <w:rFonts w:hint="eastAsia"/>
          <w:lang w:val="en-US" w:eastAsia="zh-CN"/>
        </w:rPr>
        <w:tab/>
      </w:r>
    </w:p>
    <w:p w14:paraId="649B1C67">
      <w:pPr>
        <w:pStyle w:val="30"/>
        <w:bidi w:val="0"/>
        <w:rPr>
          <w:rFonts w:hint="default"/>
          <w:lang w:val="en-US" w:eastAsia="zh-CN"/>
        </w:rPr>
      </w:pPr>
      <w:bookmarkStart w:id="5" w:name="_Toc28215"/>
      <w:r>
        <w:rPr>
          <w:rFonts w:hint="default"/>
          <w:lang w:val="en-US" w:eastAsia="zh-CN"/>
        </w:rPr>
        <w:t>研发目标</w:t>
      </w:r>
      <w:bookmarkEnd w:id="5"/>
    </w:p>
    <w:p w14:paraId="4E1637A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本项目旨在构建一个集服务知识高效管理与客户体验精准洞察于一体的智能中枢平台。核心目标是：</w:t>
      </w:r>
    </w:p>
    <w:p w14:paraId="49399BF2">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打造结构化服务知识管理引擎：将现有零散、滞后的Excel知识文件，升级为动态生长、智能关联的统一</w:t>
      </w:r>
      <w:r>
        <w:rPr>
          <w:rFonts w:hint="eastAsia"/>
          <w:lang w:val="en-US" w:eastAsia="zh-CN"/>
        </w:rPr>
        <w:t>服务知识</w:t>
      </w:r>
      <w:r>
        <w:rPr>
          <w:rFonts w:hint="default"/>
          <w:lang w:val="en-US" w:eastAsia="zh-CN"/>
        </w:rPr>
        <w:t>，变个人经验为可复用的团队资产，提升一线服务解决效率。</w:t>
      </w:r>
    </w:p>
    <w:p w14:paraId="0F8DFB08">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构建闭环驱动的客户满意度管理体系：变革后、单一渠道的满意度收集方式，实现服务全流程、多触点、即时化的体验反馈与深度分析，变被动响应为主动优化。</w:t>
      </w:r>
    </w:p>
    <w:p w14:paraId="397AB206">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实现知识与价值的量化关联分析：打通“知识应用-问题解决-客户满意”的数据链路，通过可视化报表直观呈现知识贡献度与服务质量的内在关联，为服务优化与人才激励提供数据决策支撑。</w:t>
      </w:r>
    </w:p>
    <w:p w14:paraId="2A222638">
      <w:pPr>
        <w:pStyle w:val="30"/>
        <w:bidi w:val="0"/>
        <w:rPr>
          <w:rFonts w:hint="default"/>
          <w:lang w:val="en-US" w:eastAsia="zh-CN"/>
        </w:rPr>
      </w:pPr>
      <w:bookmarkStart w:id="6" w:name="_Toc15595"/>
      <w:r>
        <w:rPr>
          <w:rFonts w:hint="default"/>
          <w:lang w:val="en-US" w:eastAsia="zh-CN"/>
        </w:rPr>
        <w:t>研发内容</w:t>
      </w:r>
      <w:bookmarkEnd w:id="6"/>
    </w:p>
    <w:p w14:paraId="3D556EBF">
      <w:pPr>
        <w:pStyle w:val="31"/>
        <w:bidi w:val="0"/>
        <w:rPr>
          <w:rFonts w:hint="default"/>
          <w:lang w:val="en-US" w:eastAsia="zh-CN"/>
        </w:rPr>
      </w:pPr>
      <w:bookmarkStart w:id="7" w:name="_Toc14451"/>
      <w:r>
        <w:rPr>
          <w:rFonts w:hint="default"/>
          <w:lang w:val="en-US" w:eastAsia="zh-CN"/>
        </w:rPr>
        <w:t>服务知识管理模块</w:t>
      </w:r>
      <w:bookmarkEnd w:id="7"/>
    </w:p>
    <w:p w14:paraId="51BFF1D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本模块旨在将“翔云系统”等核心业务的运维知识，从静态文件管理升级为主动赋能的智能体系</w:t>
      </w:r>
      <w:r>
        <w:rPr>
          <w:rFonts w:hint="eastAsia"/>
          <w:lang w:val="en-US" w:eastAsia="zh-CN"/>
        </w:rPr>
        <w:t>，其主要功能包括：</w:t>
      </w:r>
      <w:r>
        <w:rPr>
          <w:rFonts w:hint="default"/>
          <w:lang w:val="en-US" w:eastAsia="zh-CN"/>
        </w:rPr>
        <w:t>。</w:t>
      </w:r>
    </w:p>
    <w:p w14:paraId="19E452FD">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开发知识条目全生命周期管理功能，支持创建、编辑、</w:t>
      </w:r>
      <w:r>
        <w:rPr>
          <w:rFonts w:hint="eastAsia"/>
          <w:lang w:val="en-US" w:eastAsia="zh-CN"/>
        </w:rPr>
        <w:t>搜索、导出功能。</w:t>
      </w:r>
    </w:p>
    <w:p w14:paraId="3B583E55">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设计灵活的元数据模型，支持按问题类别、影响等级等多维度分类与标签体系。</w:t>
      </w:r>
    </w:p>
    <w:p w14:paraId="11771E40">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提供Excel历史数据的批量导入与图片附件迁移工具，确保知识资产平滑过渡。</w:t>
      </w:r>
    </w:p>
    <w:p w14:paraId="0F4E8518">
      <w:pPr>
        <w:pStyle w:val="31"/>
        <w:bidi w:val="0"/>
        <w:rPr>
          <w:rFonts w:hint="default"/>
          <w:lang w:val="en-US" w:eastAsia="zh-CN"/>
        </w:rPr>
      </w:pPr>
      <w:bookmarkStart w:id="8" w:name="_Toc23967"/>
      <w:r>
        <w:rPr>
          <w:rFonts w:hint="default"/>
          <w:lang w:val="en-US" w:eastAsia="zh-CN"/>
        </w:rPr>
        <w:t>客户满意度</w:t>
      </w:r>
      <w:r>
        <w:rPr>
          <w:rFonts w:hint="eastAsia"/>
          <w:lang w:val="en-US" w:eastAsia="zh-CN"/>
        </w:rPr>
        <w:t>调查</w:t>
      </w:r>
      <w:r>
        <w:rPr>
          <w:rFonts w:hint="default"/>
          <w:lang w:val="en-US" w:eastAsia="zh-CN"/>
        </w:rPr>
        <w:t>模块</w:t>
      </w:r>
      <w:bookmarkEnd w:id="8"/>
    </w:p>
    <w:p w14:paraId="7FF90F24">
      <w:pPr>
        <w:pStyle w:val="29"/>
        <w:bidi w:val="0"/>
      </w:pPr>
      <w:r>
        <w:t>本模块的核心职责，是从无到有地构建、执行并回收一套完整的满意度调查流程，确保每一次客户反馈都能被标准化、高效率地收集与汇聚。其主要功能包括：</w:t>
      </w:r>
    </w:p>
    <w:p w14:paraId="0A4E044E">
      <w:pPr>
        <w:pStyle w:val="29"/>
        <w:numPr>
          <w:ilvl w:val="0"/>
          <w:numId w:val="4"/>
        </w:numPr>
        <w:bidi w:val="0"/>
        <w:ind w:left="425" w:leftChars="0" w:hanging="425" w:firstLineChars="0"/>
      </w:pPr>
      <w:r>
        <w:t>满意度调查项的灵活配置</w:t>
      </w:r>
    </w:p>
    <w:p w14:paraId="25380B28">
      <w:pPr>
        <w:pStyle w:val="29"/>
        <w:numPr>
          <w:ilvl w:val="0"/>
          <w:numId w:val="0"/>
        </w:numPr>
        <w:bidi w:val="0"/>
        <w:ind w:left="420" w:leftChars="200"/>
        <w:rPr>
          <w:rFonts w:hint="default" w:eastAsia="宋体"/>
          <w:lang w:val="en-US" w:eastAsia="zh-CN"/>
        </w:rPr>
      </w:pPr>
      <w:r>
        <w:rPr>
          <w:rFonts w:hint="eastAsia"/>
          <w:lang w:val="en-US" w:eastAsia="zh-CN"/>
        </w:rPr>
        <w:t>支持新增和选配满意度调查项，运维工程师可根据需要进行灵活搭配，快速构建出匹配不同场景的场景化调查模板。</w:t>
      </w:r>
    </w:p>
    <w:p w14:paraId="5185BAB5">
      <w:pPr>
        <w:pStyle w:val="29"/>
        <w:numPr>
          <w:ilvl w:val="0"/>
          <w:numId w:val="4"/>
        </w:numPr>
        <w:bidi w:val="0"/>
        <w:ind w:left="425" w:leftChars="0" w:hanging="425" w:firstLineChars="0"/>
        <w:rPr>
          <w:rFonts w:hint="eastAsia"/>
          <w:lang w:val="en-US" w:eastAsia="zh-CN"/>
        </w:rPr>
      </w:pPr>
      <w:r>
        <w:rPr>
          <w:rFonts w:hint="eastAsia"/>
          <w:lang w:val="en-US" w:eastAsia="zh-CN"/>
        </w:rPr>
        <w:t>满意度调查问卷发放</w:t>
      </w:r>
    </w:p>
    <w:p w14:paraId="689FF074">
      <w:pPr>
        <w:pStyle w:val="29"/>
        <w:bidi w:val="0"/>
        <w:rPr>
          <w:rFonts w:hint="default" w:eastAsia="宋体"/>
          <w:lang w:val="en-US" w:eastAsia="zh-CN"/>
        </w:rPr>
      </w:pPr>
      <w:r>
        <w:t>满意度调查问卷发放环节，通过手动</w:t>
      </w:r>
      <w:r>
        <w:rPr>
          <w:rFonts w:hint="eastAsia"/>
          <w:lang w:val="en-US" w:eastAsia="zh-CN"/>
        </w:rPr>
        <w:t>选择客户群体进行发放</w:t>
      </w:r>
    </w:p>
    <w:p w14:paraId="7A0616F5">
      <w:pPr>
        <w:pStyle w:val="29"/>
        <w:numPr>
          <w:ilvl w:val="0"/>
          <w:numId w:val="4"/>
        </w:numPr>
        <w:bidi w:val="0"/>
        <w:ind w:left="425" w:leftChars="0" w:hanging="425" w:firstLineChars="0"/>
        <w:rPr>
          <w:rFonts w:hint="default"/>
          <w:lang w:val="en-US" w:eastAsia="zh-CN"/>
        </w:rPr>
      </w:pPr>
      <w:r>
        <w:rPr>
          <w:rFonts w:hint="eastAsia"/>
          <w:lang w:val="en-US" w:eastAsia="zh-CN"/>
        </w:rPr>
        <w:t>满意度调查问卷的结果汇总统计</w:t>
      </w:r>
    </w:p>
    <w:p w14:paraId="3FD208E8">
      <w:pPr>
        <w:pStyle w:val="29"/>
        <w:numPr>
          <w:ilvl w:val="0"/>
          <w:numId w:val="0"/>
        </w:numPr>
        <w:bidi w:val="0"/>
        <w:ind w:left="420" w:leftChars="200"/>
        <w:rPr>
          <w:rFonts w:hint="default"/>
          <w:lang w:val="en-US" w:eastAsia="zh-CN"/>
        </w:rPr>
      </w:pPr>
      <w:r>
        <w:rPr>
          <w:rFonts w:hint="eastAsia"/>
          <w:lang w:val="en-US" w:eastAsia="zh-CN"/>
        </w:rPr>
        <w:t>支持外部导入Excel形式的满意度调查问卷，并自动对问卷的结果进行汇总。</w:t>
      </w:r>
    </w:p>
    <w:p w14:paraId="36F0587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31424"/>
      <w:r>
        <w:rPr>
          <w:rFonts w:hint="default"/>
          <w:lang w:val="en-US" w:eastAsia="zh-CN"/>
        </w:rPr>
        <w:t>研发团队</w:t>
      </w:r>
      <w:bookmarkEnd w:id="9"/>
    </w:p>
    <w:p w14:paraId="064924B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根据项目需要，组建专项研发团队，具体配置如下：</w:t>
      </w:r>
    </w:p>
    <w:p w14:paraId="6B543F6A">
      <w:pPr>
        <w:pStyle w:val="29"/>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t>表3-1 人员配置表</w:t>
      </w:r>
    </w:p>
    <w:tbl>
      <w:tblPr>
        <w:tblStyle w:val="20"/>
        <w:tblW w:w="85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20"/>
        <w:gridCol w:w="1618"/>
        <w:gridCol w:w="4345"/>
        <w:gridCol w:w="940"/>
      </w:tblGrid>
      <w:tr w14:paraId="17E2C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620"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104978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职位名称</w:t>
            </w:r>
          </w:p>
        </w:tc>
        <w:tc>
          <w:tcPr>
            <w:tcW w:w="161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5584D6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所属部门</w:t>
            </w:r>
          </w:p>
        </w:tc>
        <w:tc>
          <w:tcPr>
            <w:tcW w:w="4345"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D302F4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职责描述</w:t>
            </w:r>
          </w:p>
        </w:tc>
        <w:tc>
          <w:tcPr>
            <w:tcW w:w="940"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030ACC0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数量</w:t>
            </w:r>
          </w:p>
        </w:tc>
      </w:tr>
      <w:tr w14:paraId="7B215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4B42DB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研究总院经理</w:t>
            </w:r>
          </w:p>
        </w:tc>
        <w:tc>
          <w:tcPr>
            <w:tcW w:w="16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F3B859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研究总院</w:t>
            </w:r>
          </w:p>
        </w:tc>
        <w:tc>
          <w:tcPr>
            <w:tcW w:w="434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4C1783A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项目总体规划与技术决策</w:t>
            </w:r>
          </w:p>
        </w:tc>
        <w:tc>
          <w:tcPr>
            <w:tcW w:w="94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448D0CE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r>
      <w:tr w14:paraId="7D91E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42B0A9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开发工程师</w:t>
            </w:r>
          </w:p>
        </w:tc>
        <w:tc>
          <w:tcPr>
            <w:tcW w:w="16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A8578B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研究总院</w:t>
            </w:r>
          </w:p>
        </w:tc>
        <w:tc>
          <w:tcPr>
            <w:tcW w:w="434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675C869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平台核心架构、API与数据分析模块开发</w:t>
            </w:r>
          </w:p>
          <w:p w14:paraId="4FC1398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管理界面、可视化报表前端开发</w:t>
            </w:r>
          </w:p>
        </w:tc>
        <w:tc>
          <w:tcPr>
            <w:tcW w:w="94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28234F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3人</w:t>
            </w:r>
          </w:p>
        </w:tc>
      </w:tr>
      <w:tr w14:paraId="580C7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94F56F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需求分析师</w:t>
            </w:r>
          </w:p>
        </w:tc>
        <w:tc>
          <w:tcPr>
            <w:tcW w:w="16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7E348A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研究总院</w:t>
            </w:r>
          </w:p>
        </w:tc>
        <w:tc>
          <w:tcPr>
            <w:tcW w:w="434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6338D40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收集分析业务需求，输出需求规格说明书</w:t>
            </w:r>
          </w:p>
        </w:tc>
        <w:tc>
          <w:tcPr>
            <w:tcW w:w="94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F5D026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1人</w:t>
            </w:r>
          </w:p>
        </w:tc>
      </w:tr>
      <w:tr w14:paraId="4A0C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652DA14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c>
          <w:tcPr>
            <w:tcW w:w="161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7D0027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数智运营部</w:t>
            </w:r>
          </w:p>
        </w:tc>
        <w:tc>
          <w:tcPr>
            <w:tcW w:w="4345"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0" w:type="dxa"/>
            </w:tcMar>
            <w:vAlign w:val="center"/>
          </w:tcPr>
          <w:p w14:paraId="2335E5D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协调业务资源，参与设计与测试</w:t>
            </w:r>
          </w:p>
        </w:tc>
        <w:tc>
          <w:tcPr>
            <w:tcW w:w="940"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483BF54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2人</w:t>
            </w:r>
          </w:p>
        </w:tc>
      </w:tr>
      <w:tr w14:paraId="3E3A0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20"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3055B62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质量管理专员</w:t>
            </w:r>
          </w:p>
        </w:tc>
        <w:tc>
          <w:tcPr>
            <w:tcW w:w="161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0D2BAD4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质量管理部</w:t>
            </w:r>
          </w:p>
        </w:tc>
        <w:tc>
          <w:tcPr>
            <w:tcW w:w="4345"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0" w:type="dxa"/>
            </w:tcMar>
            <w:vAlign w:val="center"/>
          </w:tcPr>
          <w:p w14:paraId="41F254F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监督研发过程质量，参与功能验证</w:t>
            </w:r>
          </w:p>
        </w:tc>
        <w:tc>
          <w:tcPr>
            <w:tcW w:w="940"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6B3C77F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2人</w:t>
            </w:r>
          </w:p>
        </w:tc>
      </w:tr>
    </w:tbl>
    <w:p w14:paraId="3E55F09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16802"/>
      <w:r>
        <w:rPr>
          <w:rFonts w:hint="default"/>
          <w:lang w:val="en-US" w:eastAsia="zh-CN"/>
        </w:rPr>
        <w:t>研发环境</w:t>
      </w:r>
      <w:bookmarkEnd w:id="10"/>
    </w:p>
    <w:p w14:paraId="5C52223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研发与部署所需环境如下：</w:t>
      </w:r>
    </w:p>
    <w:p w14:paraId="548766AD">
      <w:pPr>
        <w:pStyle w:val="29"/>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t>表3-2 环境需求表</w:t>
      </w:r>
    </w:p>
    <w:tbl>
      <w:tblPr>
        <w:tblStyle w:val="20"/>
        <w:tblW w:w="85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82"/>
        <w:gridCol w:w="708"/>
        <w:gridCol w:w="4278"/>
        <w:gridCol w:w="2138"/>
      </w:tblGrid>
      <w:tr w14:paraId="28EDE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tblHeader/>
          <w:jc w:val="center"/>
        </w:trPr>
        <w:tc>
          <w:tcPr>
            <w:tcW w:w="1382"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125964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资源名称</w:t>
            </w:r>
          </w:p>
        </w:tc>
        <w:tc>
          <w:tcPr>
            <w:tcW w:w="70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F0987F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级别</w:t>
            </w:r>
          </w:p>
        </w:tc>
        <w:tc>
          <w:tcPr>
            <w:tcW w:w="4278"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123E4A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详细配置/要求</w:t>
            </w:r>
          </w:p>
        </w:tc>
        <w:tc>
          <w:tcPr>
            <w:tcW w:w="2138"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0C27F73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获取方式</w:t>
            </w:r>
          </w:p>
        </w:tc>
      </w:tr>
      <w:tr w14:paraId="361B0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382"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598193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开发/测试环境</w:t>
            </w:r>
          </w:p>
        </w:tc>
        <w:tc>
          <w:tcPr>
            <w:tcW w:w="70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27331E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关键</w:t>
            </w:r>
          </w:p>
        </w:tc>
        <w:tc>
          <w:tcPr>
            <w:tcW w:w="427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EB1E19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独立容器化环境，Java/Python/Node.js，MySQL，Redis</w:t>
            </w:r>
          </w:p>
        </w:tc>
        <w:tc>
          <w:tcPr>
            <w:tcW w:w="213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AF9396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利用公司现有资源搭建</w:t>
            </w:r>
          </w:p>
        </w:tc>
      </w:tr>
      <w:tr w14:paraId="70F98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382"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726E906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生产环境</w:t>
            </w:r>
          </w:p>
        </w:tc>
        <w:tc>
          <w:tcPr>
            <w:tcW w:w="70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D4508E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关键</w:t>
            </w:r>
          </w:p>
        </w:tc>
        <w:tc>
          <w:tcPr>
            <w:tcW w:w="4278"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BDBE0A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云服务器集群，负载均衡</w:t>
            </w:r>
          </w:p>
        </w:tc>
        <w:tc>
          <w:tcPr>
            <w:tcW w:w="2138"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70AB69E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采购云服务或使用公司云平台</w:t>
            </w:r>
          </w:p>
        </w:tc>
      </w:tr>
      <w:tr w14:paraId="7B2CF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1382"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16A41AE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版本控制与CI/CD</w:t>
            </w:r>
          </w:p>
        </w:tc>
        <w:tc>
          <w:tcPr>
            <w:tcW w:w="70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46B6A54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关键</w:t>
            </w:r>
          </w:p>
        </w:tc>
        <w:tc>
          <w:tcPr>
            <w:tcW w:w="4278"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6F5036C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Git，Jenkins</w:t>
            </w:r>
          </w:p>
        </w:tc>
        <w:tc>
          <w:tcPr>
            <w:tcW w:w="213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11300B4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自建或使用现有工具</w:t>
            </w:r>
          </w:p>
        </w:tc>
      </w:tr>
    </w:tbl>
    <w:p w14:paraId="2BDA6A8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1433"/>
      <w:r>
        <w:rPr>
          <w:rFonts w:hint="default"/>
          <w:lang w:val="en-US" w:eastAsia="zh-CN"/>
        </w:rPr>
        <w:t>研发进度</w:t>
      </w:r>
      <w:bookmarkEnd w:id="11"/>
    </w:p>
    <w:p w14:paraId="358ED06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为有序推进研发工作，项目主要阶段与计划安排如下：</w:t>
      </w:r>
    </w:p>
    <w:p w14:paraId="6EDB44C7">
      <w:pPr>
        <w:pStyle w:val="29"/>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t>表3-3 研发进度表</w:t>
      </w:r>
    </w:p>
    <w:tbl>
      <w:tblPr>
        <w:tblStyle w:val="20"/>
        <w:tblW w:w="85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74"/>
        <w:gridCol w:w="2764"/>
        <w:gridCol w:w="4185"/>
      </w:tblGrid>
      <w:tr w14:paraId="3F237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574" w:type="dxa"/>
            <w:tcBorders>
              <w:top w:val="single" w:color="auto" w:sz="12" w:space="0"/>
              <w:left w:val="single" w:color="auto" w:sz="12" w:space="0"/>
              <w:bottom w:val="single" w:color="auto" w:sz="4" w:space="0"/>
              <w:right w:val="single" w:color="auto" w:sz="4" w:space="0"/>
            </w:tcBorders>
            <w:shd w:val="clear" w:color="auto" w:fill="FFFFFF"/>
            <w:tcMar>
              <w:top w:w="120" w:type="dxa"/>
              <w:left w:w="0" w:type="dxa"/>
              <w:bottom w:w="120" w:type="dxa"/>
              <w:right w:w="192" w:type="dxa"/>
            </w:tcMar>
            <w:vAlign w:val="center"/>
          </w:tcPr>
          <w:p w14:paraId="520E7420">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研发阶段</w:t>
            </w:r>
          </w:p>
        </w:tc>
        <w:tc>
          <w:tcPr>
            <w:tcW w:w="2764" w:type="dxa"/>
            <w:tcBorders>
              <w:top w:val="single" w:color="auto" w:sz="12"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2A17D12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计划时间</w:t>
            </w:r>
          </w:p>
        </w:tc>
        <w:tc>
          <w:tcPr>
            <w:tcW w:w="4185" w:type="dxa"/>
            <w:tcBorders>
              <w:top w:val="single" w:color="auto" w:sz="12" w:space="0"/>
              <w:left w:val="single" w:color="auto" w:sz="4" w:space="0"/>
              <w:bottom w:val="single" w:color="auto" w:sz="4" w:space="0"/>
              <w:right w:val="single" w:color="auto" w:sz="12" w:space="0"/>
            </w:tcBorders>
            <w:shd w:val="clear" w:color="auto" w:fill="FFFFFF"/>
            <w:tcMar>
              <w:top w:w="120" w:type="dxa"/>
              <w:left w:w="192" w:type="dxa"/>
              <w:bottom w:w="120" w:type="dxa"/>
              <w:right w:w="192" w:type="dxa"/>
            </w:tcMar>
            <w:vAlign w:val="center"/>
          </w:tcPr>
          <w:p w14:paraId="1274652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主要工作内容</w:t>
            </w:r>
          </w:p>
        </w:tc>
      </w:tr>
      <w:tr w14:paraId="1EC78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74" w:type="dxa"/>
            <w:tcBorders>
              <w:top w:val="single" w:color="auto" w:sz="4" w:space="0"/>
              <w:left w:val="single" w:color="auto" w:sz="12" w:space="0"/>
              <w:bottom w:val="single" w:color="auto" w:sz="4" w:space="0"/>
              <w:right w:val="single" w:color="auto" w:sz="4" w:space="0"/>
            </w:tcBorders>
            <w:shd w:val="clear" w:color="auto" w:fill="FFFFFF"/>
            <w:tcMar>
              <w:top w:w="120" w:type="dxa"/>
              <w:left w:w="0" w:type="dxa"/>
              <w:bottom w:w="120" w:type="dxa"/>
              <w:right w:w="192" w:type="dxa"/>
            </w:tcMar>
            <w:vAlign w:val="center"/>
          </w:tcPr>
          <w:p w14:paraId="0AC46B9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第一阶段：需求分析与平台设计</w:t>
            </w:r>
          </w:p>
        </w:tc>
        <w:tc>
          <w:tcPr>
            <w:tcW w:w="2764"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3CC6EEA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2025年</w:t>
            </w:r>
            <w:r>
              <w:rPr>
                <w:rStyle w:val="23"/>
                <w:rFonts w:hint="eastAsia" w:ascii="Segoe UI" w:hAnsi="Segoe UI" w:eastAsia="Segoe UI" w:cs="Segoe UI"/>
                <w:b/>
                <w:bCs/>
                <w:i w:val="0"/>
                <w:iCs w:val="0"/>
                <w:caps w:val="0"/>
                <w:snapToGrid w:val="0"/>
                <w:color w:val="000000"/>
                <w:spacing w:val="0"/>
                <w:kern w:val="0"/>
                <w:sz w:val="18"/>
                <w:szCs w:val="18"/>
                <w:lang w:val="en-US" w:eastAsia="zh-CN"/>
              </w:rPr>
              <w:t>1-3月</w:t>
            </w:r>
          </w:p>
        </w:tc>
        <w:tc>
          <w:tcPr>
            <w:tcW w:w="4185" w:type="dxa"/>
            <w:tcBorders>
              <w:top w:val="single" w:color="auto" w:sz="4" w:space="0"/>
              <w:left w:val="single" w:color="auto" w:sz="4" w:space="0"/>
              <w:bottom w:val="single" w:color="auto" w:sz="4" w:space="0"/>
              <w:right w:val="single" w:color="auto" w:sz="12" w:space="0"/>
            </w:tcBorders>
            <w:shd w:val="clear" w:color="auto" w:fill="FFFFFF"/>
            <w:tcMar>
              <w:top w:w="120" w:type="dxa"/>
              <w:left w:w="192" w:type="dxa"/>
              <w:bottom w:w="120" w:type="dxa"/>
              <w:right w:w="0" w:type="dxa"/>
            </w:tcMar>
            <w:vAlign w:val="center"/>
          </w:tcPr>
          <w:p w14:paraId="67C5D9B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完成服务知识管理与客户满意度两大核心模块的深度业务调研；输出产品原型与交互设计；完成整体技术架构方案评审。</w:t>
            </w:r>
          </w:p>
        </w:tc>
      </w:tr>
      <w:tr w14:paraId="04FC1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74" w:type="dxa"/>
            <w:tcBorders>
              <w:top w:val="single" w:color="auto" w:sz="4" w:space="0"/>
              <w:left w:val="single" w:color="auto" w:sz="12" w:space="0"/>
              <w:bottom w:val="single" w:color="auto" w:sz="4" w:space="0"/>
              <w:right w:val="single" w:color="auto" w:sz="4" w:space="0"/>
            </w:tcBorders>
            <w:shd w:val="clear" w:color="auto" w:fill="FFFFFF"/>
            <w:tcMar>
              <w:top w:w="120" w:type="dxa"/>
              <w:left w:w="0" w:type="dxa"/>
              <w:bottom w:w="120" w:type="dxa"/>
              <w:right w:w="192" w:type="dxa"/>
            </w:tcMar>
            <w:vAlign w:val="center"/>
          </w:tcPr>
          <w:p w14:paraId="7C02CFD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第二阶段：核心功能开发</w:t>
            </w:r>
          </w:p>
        </w:tc>
        <w:tc>
          <w:tcPr>
            <w:tcW w:w="2764"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3ACF931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2025年</w:t>
            </w:r>
            <w:r>
              <w:rPr>
                <w:rStyle w:val="23"/>
                <w:rFonts w:hint="eastAsia" w:ascii="Segoe UI" w:hAnsi="Segoe UI" w:eastAsia="Segoe UI" w:cs="Segoe UI"/>
                <w:b/>
                <w:bCs/>
                <w:i w:val="0"/>
                <w:iCs w:val="0"/>
                <w:caps w:val="0"/>
                <w:snapToGrid w:val="0"/>
                <w:color w:val="000000"/>
                <w:spacing w:val="0"/>
                <w:kern w:val="0"/>
                <w:sz w:val="18"/>
                <w:szCs w:val="18"/>
                <w:lang w:val="en-US" w:eastAsia="zh-CN"/>
              </w:rPr>
              <w:t>4-6月</w:t>
            </w:r>
          </w:p>
        </w:tc>
        <w:tc>
          <w:tcPr>
            <w:tcW w:w="4185" w:type="dxa"/>
            <w:tcBorders>
              <w:top w:val="single" w:color="auto" w:sz="4" w:space="0"/>
              <w:left w:val="single" w:color="auto" w:sz="4" w:space="0"/>
              <w:bottom w:val="single" w:color="auto" w:sz="4" w:space="0"/>
              <w:right w:val="single" w:color="auto" w:sz="12" w:space="0"/>
            </w:tcBorders>
            <w:shd w:val="clear" w:color="auto" w:fill="FFFFFF"/>
            <w:tcMar>
              <w:top w:w="120" w:type="dxa"/>
              <w:left w:w="192" w:type="dxa"/>
              <w:bottom w:w="120" w:type="dxa"/>
              <w:right w:w="0" w:type="dxa"/>
            </w:tcMar>
            <w:vAlign w:val="center"/>
          </w:tcPr>
          <w:p w14:paraId="6A4D15B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完成 服务知识 的基础管理功能与检索功能开发。完成 客户满意度模块 中调查项配置与问卷手动发放功能的核心开发。</w:t>
            </w:r>
          </w:p>
        </w:tc>
      </w:tr>
      <w:tr w14:paraId="11CFF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74" w:type="dxa"/>
            <w:tcBorders>
              <w:top w:val="single" w:color="auto" w:sz="4" w:space="0"/>
              <w:left w:val="single" w:color="auto" w:sz="12" w:space="0"/>
              <w:bottom w:val="single" w:color="auto" w:sz="4" w:space="0"/>
              <w:right w:val="single" w:color="auto" w:sz="4" w:space="0"/>
            </w:tcBorders>
            <w:shd w:val="clear" w:color="auto" w:fill="FFFFFF"/>
            <w:tcMar>
              <w:top w:w="120" w:type="dxa"/>
              <w:left w:w="0" w:type="dxa"/>
              <w:bottom w:w="120" w:type="dxa"/>
              <w:right w:w="192" w:type="dxa"/>
            </w:tcMar>
            <w:vAlign w:val="center"/>
          </w:tcPr>
          <w:p w14:paraId="2F9C047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第三阶段：智能功能与数据分析开发</w:t>
            </w:r>
          </w:p>
        </w:tc>
        <w:tc>
          <w:tcPr>
            <w:tcW w:w="2764" w:type="dxa"/>
            <w:tcBorders>
              <w:top w:val="single" w:color="auto" w:sz="4" w:space="0"/>
              <w:left w:val="single" w:color="auto" w:sz="4" w:space="0"/>
              <w:bottom w:val="single" w:color="auto" w:sz="4" w:space="0"/>
              <w:right w:val="single" w:color="auto" w:sz="4" w:space="0"/>
            </w:tcBorders>
            <w:shd w:val="clear" w:color="auto" w:fill="FFFFFF"/>
            <w:tcMar>
              <w:top w:w="120" w:type="dxa"/>
              <w:left w:w="192" w:type="dxa"/>
              <w:bottom w:w="120" w:type="dxa"/>
              <w:right w:w="192" w:type="dxa"/>
            </w:tcMar>
            <w:vAlign w:val="center"/>
          </w:tcPr>
          <w:p w14:paraId="3B39CEC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2025年</w:t>
            </w:r>
            <w:r>
              <w:rPr>
                <w:rStyle w:val="23"/>
                <w:rFonts w:hint="eastAsia" w:ascii="Segoe UI" w:hAnsi="Segoe UI" w:eastAsia="Segoe UI" w:cs="Segoe UI"/>
                <w:b/>
                <w:bCs/>
                <w:i w:val="0"/>
                <w:iCs w:val="0"/>
                <w:caps w:val="0"/>
                <w:snapToGrid w:val="0"/>
                <w:color w:val="000000"/>
                <w:spacing w:val="0"/>
                <w:kern w:val="0"/>
                <w:sz w:val="18"/>
                <w:szCs w:val="18"/>
                <w:lang w:val="en-US" w:eastAsia="zh-CN"/>
              </w:rPr>
              <w:t>7-9月</w:t>
            </w:r>
          </w:p>
        </w:tc>
        <w:tc>
          <w:tcPr>
            <w:tcW w:w="4185" w:type="dxa"/>
            <w:tcBorders>
              <w:top w:val="single" w:color="auto" w:sz="4" w:space="0"/>
              <w:left w:val="single" w:color="auto" w:sz="4" w:space="0"/>
              <w:bottom w:val="single" w:color="auto" w:sz="4" w:space="0"/>
              <w:right w:val="single" w:color="auto" w:sz="12" w:space="0"/>
            </w:tcBorders>
            <w:shd w:val="clear" w:color="auto" w:fill="FFFFFF"/>
            <w:tcMar>
              <w:top w:w="120" w:type="dxa"/>
              <w:left w:w="192" w:type="dxa"/>
              <w:bottom w:w="120" w:type="dxa"/>
              <w:right w:w="0" w:type="dxa"/>
            </w:tcMar>
            <w:vAlign w:val="center"/>
          </w:tcPr>
          <w:p w14:paraId="207B82D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深化知识库智能关联与应用功能。完成满意度问卷结果的自动汇总、统计分析功能以及外部数据导入接口的开发。启动服务价值可视化报表模块的设计与基础开发。</w:t>
            </w:r>
          </w:p>
        </w:tc>
      </w:tr>
      <w:tr w14:paraId="22F5C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74" w:type="dxa"/>
            <w:tcBorders>
              <w:top w:val="single" w:color="auto" w:sz="4" w:space="0"/>
              <w:left w:val="single" w:color="auto" w:sz="12" w:space="0"/>
              <w:bottom w:val="single" w:color="auto" w:sz="12" w:space="0"/>
              <w:right w:val="single" w:color="auto" w:sz="4" w:space="0"/>
            </w:tcBorders>
            <w:shd w:val="clear" w:color="auto" w:fill="FFFFFF"/>
            <w:tcMar>
              <w:top w:w="120" w:type="dxa"/>
              <w:left w:w="0" w:type="dxa"/>
              <w:bottom w:w="120" w:type="dxa"/>
              <w:right w:w="192" w:type="dxa"/>
            </w:tcMar>
            <w:vAlign w:val="center"/>
          </w:tcPr>
          <w:p w14:paraId="330CF3E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第四阶段：系统集成、测试与试点运行</w:t>
            </w:r>
          </w:p>
        </w:tc>
        <w:tc>
          <w:tcPr>
            <w:tcW w:w="2764" w:type="dxa"/>
            <w:tcBorders>
              <w:top w:val="single" w:color="auto" w:sz="4" w:space="0"/>
              <w:left w:val="single" w:color="auto" w:sz="4" w:space="0"/>
              <w:bottom w:val="single" w:color="auto" w:sz="12" w:space="0"/>
              <w:right w:val="single" w:color="auto" w:sz="4" w:space="0"/>
            </w:tcBorders>
            <w:shd w:val="clear" w:color="auto" w:fill="FFFFFF"/>
            <w:tcMar>
              <w:top w:w="120" w:type="dxa"/>
              <w:left w:w="192" w:type="dxa"/>
              <w:bottom w:w="120" w:type="dxa"/>
              <w:right w:w="192" w:type="dxa"/>
            </w:tcMar>
            <w:vAlign w:val="center"/>
          </w:tcPr>
          <w:p w14:paraId="40D4799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lang w:val="en-US"/>
              </w:rPr>
            </w:pPr>
            <w:r>
              <w:rPr>
                <w:rStyle w:val="23"/>
                <w:rFonts w:hint="default" w:ascii="Segoe UI" w:hAnsi="Segoe UI" w:eastAsia="Segoe UI" w:cs="Segoe UI"/>
                <w:b/>
                <w:bCs/>
                <w:i w:val="0"/>
                <w:iCs w:val="0"/>
                <w:caps w:val="0"/>
                <w:snapToGrid w:val="0"/>
                <w:color w:val="000000"/>
                <w:spacing w:val="0"/>
                <w:kern w:val="0"/>
                <w:sz w:val="18"/>
                <w:szCs w:val="18"/>
                <w:lang w:val="en-US" w:eastAsia="zh-CN"/>
              </w:rPr>
              <w:t>2025年</w:t>
            </w:r>
            <w:r>
              <w:rPr>
                <w:rStyle w:val="23"/>
                <w:rFonts w:hint="eastAsia" w:ascii="Segoe UI" w:hAnsi="Segoe UI" w:eastAsia="Segoe UI" w:cs="Segoe UI"/>
                <w:b/>
                <w:bCs/>
                <w:i w:val="0"/>
                <w:iCs w:val="0"/>
                <w:caps w:val="0"/>
                <w:snapToGrid w:val="0"/>
                <w:color w:val="000000"/>
                <w:spacing w:val="0"/>
                <w:kern w:val="0"/>
                <w:sz w:val="18"/>
                <w:szCs w:val="18"/>
                <w:lang w:val="en-US" w:eastAsia="zh-CN"/>
              </w:rPr>
              <w:t>10月</w:t>
            </w:r>
          </w:p>
        </w:tc>
        <w:tc>
          <w:tcPr>
            <w:tcW w:w="4185" w:type="dxa"/>
            <w:tcBorders>
              <w:top w:val="single" w:color="auto" w:sz="4" w:space="0"/>
              <w:left w:val="single" w:color="auto" w:sz="4" w:space="0"/>
              <w:bottom w:val="single" w:color="auto" w:sz="12" w:space="0"/>
              <w:right w:val="single" w:color="auto" w:sz="12" w:space="0"/>
            </w:tcBorders>
            <w:shd w:val="clear" w:color="auto" w:fill="FFFFFF"/>
            <w:tcMar>
              <w:top w:w="120" w:type="dxa"/>
              <w:left w:w="192" w:type="dxa"/>
              <w:bottom w:w="120" w:type="dxa"/>
              <w:right w:w="0" w:type="dxa"/>
            </w:tcMar>
            <w:vAlign w:val="center"/>
          </w:tcPr>
          <w:p w14:paraId="5A9A75C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进行各模块间的系统集成测试、性能优化及安全测试。</w:t>
            </w:r>
            <w:r>
              <w:rPr>
                <w:rFonts w:hint="eastAsia" w:ascii="Segoe UI" w:hAnsi="Segoe UI" w:eastAsia="Segoe UI" w:cs="Segoe UI"/>
                <w:i w:val="0"/>
                <w:iCs w:val="0"/>
                <w:caps w:val="0"/>
                <w:snapToGrid w:val="0"/>
                <w:color w:val="000000"/>
                <w:spacing w:val="0"/>
                <w:kern w:val="0"/>
                <w:sz w:val="18"/>
                <w:szCs w:val="18"/>
                <w:lang w:val="en-US" w:eastAsia="zh-CN"/>
              </w:rPr>
              <w:t>在数智运维部</w:t>
            </w:r>
            <w:r>
              <w:rPr>
                <w:rFonts w:hint="default" w:ascii="Segoe UI" w:hAnsi="Segoe UI" w:eastAsia="Segoe UI" w:cs="Segoe UI"/>
                <w:i w:val="0"/>
                <w:iCs w:val="0"/>
                <w:caps w:val="0"/>
                <w:snapToGrid w:val="0"/>
                <w:color w:val="000000"/>
                <w:spacing w:val="0"/>
                <w:kern w:val="0"/>
                <w:sz w:val="18"/>
                <w:szCs w:val="18"/>
                <w:lang w:val="en-US" w:eastAsia="zh-CN"/>
              </w:rPr>
              <w:t>试点运行，收集一线反馈，为全面推广做准备。</w:t>
            </w:r>
          </w:p>
        </w:tc>
      </w:tr>
    </w:tbl>
    <w:p w14:paraId="2FEB6E48">
      <w:pPr>
        <w:pStyle w:val="29"/>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14:paraId="232E828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21900"/>
      <w:r>
        <w:rPr>
          <w:rFonts w:hint="eastAsia"/>
          <w:lang w:val="en-US" w:eastAsia="zh-CN"/>
        </w:rPr>
        <w:t>运维手册研发</w:t>
      </w:r>
      <w:bookmarkEnd w:id="12"/>
    </w:p>
    <w:p w14:paraId="2E7A8BB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8478"/>
      <w:r>
        <w:rPr>
          <w:rFonts w:hint="default"/>
          <w:lang w:val="en-US" w:eastAsia="zh-CN"/>
        </w:rPr>
        <w:t>现状分析</w:t>
      </w:r>
      <w:bookmarkEnd w:id="13"/>
    </w:p>
    <w:p w14:paraId="31B1391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目前已针对部分核心系统（如财务机器人系统、零信任安全系统）编制了操作手册（如《往来核销机器人操作手册》、《零信任使用FAQ》）。这些手册为特定系统的操作与故障排查提供了基础指导，有效支持了相关运维工作的开展。</w:t>
      </w:r>
    </w:p>
    <w:p w14:paraId="75697F0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然而，当前手册研发存在以下不足：</w:t>
      </w:r>
    </w:p>
    <w:p w14:paraId="194D15E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覆盖不全面：手册主要集中在已上线且问题较多的系统，大量在运核心业务系统、平台及通用技术组件缺乏系统化的运维手册。</w:t>
      </w:r>
    </w:p>
    <w:p w14:paraId="2AA26B2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格式不规范：现有手册格式、内容深度、更新机制不统一，不利于知识的标准化管理与快速查阅。</w:t>
      </w:r>
    </w:p>
    <w:p w14:paraId="4283A5E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知识未体系化：操作手册、故障处理、应急预案等知识分散，未与公司知识管理体系有效融合，难以发挥协同效应。</w:t>
      </w:r>
    </w:p>
    <w:p w14:paraId="0562F9A0">
      <w:pPr>
        <w:pStyle w:val="29"/>
        <w:bidi w:val="0"/>
        <w:rPr>
          <w:rFonts w:hint="default"/>
          <w:lang w:val="en-US" w:eastAsia="zh-CN"/>
        </w:rPr>
      </w:pPr>
      <w:r>
        <w:t>数据库运维标准化缺失：作为承载公司核心业务数据的数据库系统（，目前尚未形成统一、规范的运维手册，导致不同项目组的数据库维护操作依赖个人经验，存在操作风险不一、故障响应效率差异大、知识传承困难等问题，难以满足日益严格的数据安全与业务连续性要求</w:t>
      </w:r>
    </w:p>
    <w:p w14:paraId="3841B04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8022"/>
      <w:r>
        <w:rPr>
          <w:rFonts w:hint="default"/>
          <w:lang w:val="en-US" w:eastAsia="zh-CN"/>
        </w:rPr>
        <w:t>研发必要性</w:t>
      </w:r>
      <w:bookmarkEnd w:id="14"/>
    </w:p>
    <w:p w14:paraId="6347331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系统化、标准化的运维手册是确保运维服务规范性、可重复性与安全性的基石，其研发必要性体现在：</w:t>
      </w:r>
    </w:p>
    <w:p w14:paraId="0CF563B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降低操作风险：为高频、复杂或关键操作提供标准作业程序（SOP），减少人为误操作风险。</w:t>
      </w:r>
    </w:p>
    <w:p w14:paraId="1E8919B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提升处置效率：当系统发生故障时，完备的故障处理手册能指导工程师快速定位与恢复，缩短MTTR（平均修复时间）。</w:t>
      </w:r>
    </w:p>
    <w:p w14:paraId="447A137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促进知识传承：形成系统化的知识资产，降低对特定专家的依赖，加速新员工成长，保障服务连续性。</w:t>
      </w:r>
    </w:p>
    <w:p w14:paraId="1D0340D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满足合规要求：完善的技术文档是IT服务管理体系（如ITSS、ISO20000）认证与审计的必备要素。</w:t>
      </w:r>
    </w:p>
    <w:p w14:paraId="5AE37BC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2130"/>
      <w:r>
        <w:rPr>
          <w:rFonts w:hint="default"/>
          <w:lang w:val="en-US" w:eastAsia="zh-CN"/>
        </w:rPr>
        <w:t>手册研发计划</w:t>
      </w:r>
      <w:bookmarkEnd w:id="15"/>
    </w:p>
    <w:p w14:paraId="3C371CE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2025年度，计划启动运维手册的标准化研发工作，具体计划如下：</w:t>
      </w:r>
    </w:p>
    <w:p w14:paraId="1EB12CE2">
      <w:pPr>
        <w:pStyle w:val="29"/>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t>表</w:t>
      </w:r>
      <w:r>
        <w:rPr>
          <w:rFonts w:hint="eastAsia"/>
          <w:lang w:val="en-US" w:eastAsia="zh-CN"/>
        </w:rPr>
        <w:t>4</w:t>
      </w:r>
      <w:r>
        <w:rPr>
          <w:rFonts w:hint="default"/>
          <w:lang w:val="en-US" w:eastAsia="zh-CN"/>
        </w:rPr>
        <w:t>-1 运维手册研发计划表（2025年度）</w:t>
      </w:r>
    </w:p>
    <w:tbl>
      <w:tblPr>
        <w:tblStyle w:val="20"/>
        <w:tblW w:w="8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27"/>
        <w:gridCol w:w="1562"/>
        <w:gridCol w:w="1665"/>
        <w:gridCol w:w="2831"/>
        <w:gridCol w:w="908"/>
        <w:gridCol w:w="1003"/>
      </w:tblGrid>
      <w:tr w14:paraId="73D3C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527" w:type="dxa"/>
            <w:shd w:val="clear" w:color="auto" w:fill="auto"/>
            <w:tcMar>
              <w:top w:w="120" w:type="dxa"/>
              <w:left w:w="0" w:type="dxa"/>
              <w:bottom w:w="120" w:type="dxa"/>
              <w:right w:w="192" w:type="dxa"/>
            </w:tcMar>
            <w:vAlign w:val="center"/>
          </w:tcPr>
          <w:p w14:paraId="1498CA8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编号</w:t>
            </w:r>
          </w:p>
        </w:tc>
        <w:tc>
          <w:tcPr>
            <w:tcW w:w="1562" w:type="dxa"/>
            <w:shd w:val="clear" w:color="auto" w:fill="auto"/>
            <w:tcMar>
              <w:top w:w="120" w:type="dxa"/>
              <w:left w:w="192" w:type="dxa"/>
              <w:bottom w:w="120" w:type="dxa"/>
              <w:right w:w="192" w:type="dxa"/>
            </w:tcMar>
            <w:vAlign w:val="center"/>
          </w:tcPr>
          <w:p w14:paraId="002A702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手册类别</w:t>
            </w:r>
          </w:p>
        </w:tc>
        <w:tc>
          <w:tcPr>
            <w:tcW w:w="1665" w:type="dxa"/>
            <w:shd w:val="clear" w:color="auto" w:fill="auto"/>
            <w:tcMar>
              <w:top w:w="120" w:type="dxa"/>
              <w:left w:w="192" w:type="dxa"/>
              <w:bottom w:w="120" w:type="dxa"/>
              <w:right w:w="192" w:type="dxa"/>
            </w:tcMar>
            <w:vAlign w:val="center"/>
          </w:tcPr>
          <w:p w14:paraId="0EDA585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手册名称</w:t>
            </w:r>
          </w:p>
        </w:tc>
        <w:tc>
          <w:tcPr>
            <w:tcW w:w="2831" w:type="dxa"/>
            <w:shd w:val="clear" w:color="auto" w:fill="auto"/>
            <w:tcMar>
              <w:top w:w="120" w:type="dxa"/>
              <w:left w:w="192" w:type="dxa"/>
              <w:bottom w:w="120" w:type="dxa"/>
              <w:right w:w="192" w:type="dxa"/>
            </w:tcMar>
            <w:vAlign w:val="center"/>
          </w:tcPr>
          <w:p w14:paraId="4877D55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主要内容</w:t>
            </w:r>
          </w:p>
        </w:tc>
        <w:tc>
          <w:tcPr>
            <w:tcW w:w="908" w:type="dxa"/>
            <w:shd w:val="clear" w:color="auto" w:fill="auto"/>
            <w:tcMar>
              <w:top w:w="120" w:type="dxa"/>
              <w:left w:w="192" w:type="dxa"/>
              <w:bottom w:w="120" w:type="dxa"/>
              <w:right w:w="192" w:type="dxa"/>
            </w:tcMar>
            <w:vAlign w:val="center"/>
          </w:tcPr>
          <w:p w14:paraId="6AFEB12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责任部门</w:t>
            </w:r>
          </w:p>
        </w:tc>
        <w:tc>
          <w:tcPr>
            <w:tcW w:w="1003" w:type="dxa"/>
            <w:shd w:val="clear" w:color="auto" w:fill="auto"/>
            <w:tcMar>
              <w:top w:w="120" w:type="dxa"/>
              <w:left w:w="192" w:type="dxa"/>
              <w:bottom w:w="120" w:type="dxa"/>
              <w:right w:w="192" w:type="dxa"/>
            </w:tcMar>
            <w:vAlign w:val="center"/>
          </w:tcPr>
          <w:p w14:paraId="12117A7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计划完成时间</w:t>
            </w:r>
          </w:p>
        </w:tc>
      </w:tr>
      <w:tr w14:paraId="6F780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527" w:type="dxa"/>
            <w:shd w:val="clear" w:color="auto" w:fill="auto"/>
            <w:tcMar>
              <w:top w:w="120" w:type="dxa"/>
              <w:left w:w="0" w:type="dxa"/>
              <w:bottom w:w="120" w:type="dxa"/>
              <w:right w:w="192" w:type="dxa"/>
            </w:tcMar>
            <w:vAlign w:val="center"/>
          </w:tcPr>
          <w:p w14:paraId="7A23F5D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1562" w:type="dxa"/>
            <w:shd w:val="clear" w:color="auto" w:fill="auto"/>
            <w:tcMar>
              <w:top w:w="120" w:type="dxa"/>
              <w:left w:w="192" w:type="dxa"/>
              <w:bottom w:w="120" w:type="dxa"/>
              <w:right w:w="192" w:type="dxa"/>
            </w:tcMar>
            <w:vAlign w:val="center"/>
          </w:tcPr>
          <w:p w14:paraId="6BB5B14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运维文档</w:t>
            </w:r>
          </w:p>
        </w:tc>
        <w:tc>
          <w:tcPr>
            <w:tcW w:w="1665" w:type="dxa"/>
            <w:shd w:val="clear" w:color="auto" w:fill="auto"/>
            <w:tcMar>
              <w:top w:w="120" w:type="dxa"/>
              <w:left w:w="192" w:type="dxa"/>
              <w:bottom w:w="120" w:type="dxa"/>
              <w:right w:w="192" w:type="dxa"/>
            </w:tcMar>
            <w:vAlign w:val="center"/>
          </w:tcPr>
          <w:p w14:paraId="0E8BB97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《财务机器人系列运维手册》</w:t>
            </w:r>
          </w:p>
        </w:tc>
        <w:tc>
          <w:tcPr>
            <w:tcW w:w="2831" w:type="dxa"/>
            <w:shd w:val="clear" w:color="auto" w:fill="auto"/>
            <w:tcMar>
              <w:top w:w="120" w:type="dxa"/>
              <w:left w:w="192" w:type="dxa"/>
              <w:bottom w:w="120" w:type="dxa"/>
              <w:right w:w="192" w:type="dxa"/>
            </w:tcMar>
            <w:vAlign w:val="center"/>
          </w:tcPr>
          <w:p w14:paraId="5D7C5BC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涵盖往来核销、报表自动化等各财务机器人的部署、配置、日常操作、监控及常见故障处理指南。</w:t>
            </w:r>
          </w:p>
        </w:tc>
        <w:tc>
          <w:tcPr>
            <w:tcW w:w="908" w:type="dxa"/>
            <w:shd w:val="clear" w:color="auto" w:fill="auto"/>
            <w:tcMar>
              <w:top w:w="120" w:type="dxa"/>
              <w:left w:w="192" w:type="dxa"/>
              <w:bottom w:w="120" w:type="dxa"/>
              <w:right w:w="192" w:type="dxa"/>
            </w:tcMar>
            <w:vAlign w:val="center"/>
          </w:tcPr>
          <w:p w14:paraId="3DE94A5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数智运营部、研究总院</w:t>
            </w:r>
          </w:p>
        </w:tc>
        <w:tc>
          <w:tcPr>
            <w:tcW w:w="1003" w:type="dxa"/>
            <w:shd w:val="clear" w:color="auto" w:fill="auto"/>
            <w:tcMar>
              <w:top w:w="120" w:type="dxa"/>
              <w:left w:w="192" w:type="dxa"/>
              <w:bottom w:w="120" w:type="dxa"/>
              <w:right w:w="0" w:type="dxa"/>
            </w:tcMar>
            <w:vAlign w:val="center"/>
          </w:tcPr>
          <w:p w14:paraId="5D704C8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rPr>
              <w:t>2025年Q</w:t>
            </w:r>
            <w:r>
              <w:rPr>
                <w:rFonts w:hint="eastAsia" w:ascii="Segoe UI" w:hAnsi="Segoe UI" w:eastAsia="Segoe UI" w:cs="Segoe UI"/>
                <w:i w:val="0"/>
                <w:iCs w:val="0"/>
                <w:caps w:val="0"/>
                <w:snapToGrid w:val="0"/>
                <w:color w:val="000000"/>
                <w:spacing w:val="0"/>
                <w:kern w:val="0"/>
                <w:sz w:val="18"/>
                <w:szCs w:val="18"/>
                <w:lang w:val="en-US" w:eastAsia="zh-CN"/>
              </w:rPr>
              <w:t>1</w:t>
            </w:r>
          </w:p>
        </w:tc>
      </w:tr>
      <w:tr w14:paraId="46CBF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527" w:type="dxa"/>
            <w:shd w:val="clear" w:color="auto" w:fill="auto"/>
            <w:tcMar>
              <w:top w:w="120" w:type="dxa"/>
              <w:left w:w="0" w:type="dxa"/>
              <w:bottom w:w="120" w:type="dxa"/>
              <w:right w:w="192" w:type="dxa"/>
            </w:tcMar>
            <w:vAlign w:val="center"/>
          </w:tcPr>
          <w:p w14:paraId="18796DB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1562" w:type="dxa"/>
            <w:shd w:val="clear" w:color="auto" w:fill="auto"/>
            <w:tcMar>
              <w:top w:w="120" w:type="dxa"/>
              <w:left w:w="192" w:type="dxa"/>
              <w:bottom w:w="120" w:type="dxa"/>
              <w:right w:w="192" w:type="dxa"/>
            </w:tcMar>
            <w:vAlign w:val="center"/>
          </w:tcPr>
          <w:p w14:paraId="5A482E7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eastAsia"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技术知识</w:t>
            </w:r>
          </w:p>
        </w:tc>
        <w:tc>
          <w:tcPr>
            <w:tcW w:w="1665" w:type="dxa"/>
            <w:shd w:val="clear" w:color="auto" w:fill="auto"/>
            <w:tcMar>
              <w:top w:w="120" w:type="dxa"/>
              <w:left w:w="192" w:type="dxa"/>
              <w:bottom w:w="120" w:type="dxa"/>
              <w:right w:w="192" w:type="dxa"/>
            </w:tcMar>
            <w:vAlign w:val="center"/>
          </w:tcPr>
          <w:p w14:paraId="6C40440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《零信任安全接入平台运维手册》</w:t>
            </w:r>
          </w:p>
        </w:tc>
        <w:tc>
          <w:tcPr>
            <w:tcW w:w="2831" w:type="dxa"/>
            <w:shd w:val="clear" w:color="auto" w:fill="auto"/>
            <w:tcMar>
              <w:top w:w="120" w:type="dxa"/>
              <w:left w:w="192" w:type="dxa"/>
              <w:bottom w:w="120" w:type="dxa"/>
              <w:right w:w="192" w:type="dxa"/>
            </w:tcMar>
            <w:vAlign w:val="center"/>
          </w:tcPr>
          <w:p w14:paraId="58AAB84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包含客户端的部署与升级、日常登录认证问题排查、策略验证、与各业务系统的对接配置说明及应急处理流程。</w:t>
            </w:r>
          </w:p>
        </w:tc>
        <w:tc>
          <w:tcPr>
            <w:tcW w:w="908" w:type="dxa"/>
            <w:shd w:val="clear" w:color="auto" w:fill="auto"/>
            <w:tcMar>
              <w:top w:w="120" w:type="dxa"/>
              <w:left w:w="192" w:type="dxa"/>
              <w:bottom w:w="120" w:type="dxa"/>
              <w:right w:w="192" w:type="dxa"/>
            </w:tcMar>
            <w:vAlign w:val="center"/>
          </w:tcPr>
          <w:p w14:paraId="0407723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数智运营部、研究总院</w:t>
            </w:r>
          </w:p>
        </w:tc>
        <w:tc>
          <w:tcPr>
            <w:tcW w:w="1003" w:type="dxa"/>
            <w:shd w:val="clear" w:color="auto" w:fill="auto"/>
            <w:tcMar>
              <w:top w:w="120" w:type="dxa"/>
              <w:left w:w="192" w:type="dxa"/>
              <w:bottom w:w="120" w:type="dxa"/>
              <w:right w:w="0" w:type="dxa"/>
            </w:tcMar>
            <w:vAlign w:val="center"/>
          </w:tcPr>
          <w:p w14:paraId="4ADAD03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lang w:val="en-US"/>
              </w:rPr>
            </w:pPr>
            <w:r>
              <w:rPr>
                <w:rFonts w:hint="default" w:ascii="Segoe UI" w:hAnsi="Segoe UI" w:eastAsia="Segoe UI" w:cs="Segoe UI"/>
                <w:i w:val="0"/>
                <w:iCs w:val="0"/>
                <w:caps w:val="0"/>
                <w:snapToGrid w:val="0"/>
                <w:color w:val="000000"/>
                <w:spacing w:val="0"/>
                <w:kern w:val="0"/>
                <w:sz w:val="18"/>
                <w:szCs w:val="18"/>
                <w:lang w:val="en-US" w:eastAsia="zh-CN"/>
              </w:rPr>
              <w:t>2025年Q</w:t>
            </w:r>
            <w:r>
              <w:rPr>
                <w:rFonts w:hint="eastAsia" w:ascii="Segoe UI" w:hAnsi="Segoe UI" w:eastAsia="Segoe UI" w:cs="Segoe UI"/>
                <w:i w:val="0"/>
                <w:iCs w:val="0"/>
                <w:caps w:val="0"/>
                <w:snapToGrid w:val="0"/>
                <w:color w:val="000000"/>
                <w:spacing w:val="0"/>
                <w:kern w:val="0"/>
                <w:sz w:val="18"/>
                <w:szCs w:val="18"/>
                <w:lang w:val="en-US" w:eastAsia="zh-CN"/>
              </w:rPr>
              <w:t>2</w:t>
            </w:r>
          </w:p>
        </w:tc>
      </w:tr>
      <w:tr w14:paraId="34C9C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527" w:type="dxa"/>
            <w:shd w:val="clear" w:color="auto" w:fill="auto"/>
            <w:tcMar>
              <w:top w:w="120" w:type="dxa"/>
              <w:left w:w="0" w:type="dxa"/>
              <w:bottom w:w="120" w:type="dxa"/>
              <w:right w:w="192" w:type="dxa"/>
            </w:tcMar>
            <w:vAlign w:val="center"/>
          </w:tcPr>
          <w:p w14:paraId="5B0E01C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3</w:t>
            </w:r>
          </w:p>
        </w:tc>
        <w:tc>
          <w:tcPr>
            <w:tcW w:w="1562" w:type="dxa"/>
            <w:shd w:val="clear" w:color="auto" w:fill="auto"/>
            <w:tcMar>
              <w:top w:w="120" w:type="dxa"/>
              <w:left w:w="192" w:type="dxa"/>
              <w:bottom w:w="120" w:type="dxa"/>
              <w:right w:w="192" w:type="dxa"/>
            </w:tcMar>
            <w:vAlign w:val="center"/>
          </w:tcPr>
          <w:p w14:paraId="4488AAC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运维文档</w:t>
            </w:r>
          </w:p>
        </w:tc>
        <w:tc>
          <w:tcPr>
            <w:tcW w:w="1665" w:type="dxa"/>
            <w:shd w:val="clear" w:color="auto" w:fill="auto"/>
            <w:tcMar>
              <w:top w:w="120" w:type="dxa"/>
              <w:left w:w="192" w:type="dxa"/>
              <w:bottom w:w="120" w:type="dxa"/>
              <w:right w:w="192" w:type="dxa"/>
            </w:tcMar>
            <w:vAlign w:val="center"/>
          </w:tcPr>
          <w:p w14:paraId="51233DE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《数据库运维手册》</w:t>
            </w:r>
          </w:p>
        </w:tc>
        <w:tc>
          <w:tcPr>
            <w:tcW w:w="2831" w:type="dxa"/>
            <w:shd w:val="clear" w:color="auto" w:fill="auto"/>
            <w:tcMar>
              <w:top w:w="120" w:type="dxa"/>
              <w:left w:w="192" w:type="dxa"/>
              <w:bottom w:w="120" w:type="dxa"/>
              <w:right w:w="192" w:type="dxa"/>
            </w:tcMar>
            <w:vAlign w:val="center"/>
          </w:tcPr>
          <w:p w14:paraId="68AD051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涵盖主从架构、备份恢复、性能监控、故障处理、安全管理等全生命周期运维标准，</w:t>
            </w:r>
            <w:r>
              <w:rPr>
                <w:rFonts w:hint="eastAsia" w:ascii="Segoe UI" w:hAnsi="Segoe UI" w:eastAsia="Segoe UI" w:cs="Segoe UI"/>
                <w:i w:val="0"/>
                <w:iCs w:val="0"/>
                <w:caps w:val="0"/>
                <w:snapToGrid w:val="0"/>
                <w:color w:val="000000"/>
                <w:spacing w:val="0"/>
                <w:kern w:val="0"/>
                <w:sz w:val="18"/>
                <w:szCs w:val="18"/>
                <w:lang w:val="en-US" w:eastAsia="zh-CN"/>
              </w:rPr>
              <w:t>适用于MySQL</w:t>
            </w:r>
            <w:r>
              <w:rPr>
                <w:rFonts w:hint="default" w:ascii="Segoe UI" w:hAnsi="Segoe UI" w:eastAsia="Segoe UI" w:cs="Segoe UI"/>
                <w:i w:val="0"/>
                <w:iCs w:val="0"/>
                <w:caps w:val="0"/>
                <w:snapToGrid w:val="0"/>
                <w:color w:val="000000"/>
                <w:spacing w:val="0"/>
                <w:kern w:val="0"/>
                <w:sz w:val="18"/>
                <w:szCs w:val="18"/>
                <w:lang w:val="en-US" w:eastAsia="zh-CN"/>
              </w:rPr>
              <w:t>数据库</w:t>
            </w:r>
            <w:r>
              <w:rPr>
                <w:rStyle w:val="23"/>
                <w:rFonts w:ascii="Segoe UI" w:hAnsi="Segoe UI" w:eastAsia="Segoe UI" w:cs="Segoe UI"/>
                <w:b/>
                <w:bCs/>
                <w:i w:val="0"/>
                <w:iCs w:val="0"/>
                <w:caps w:val="0"/>
                <w:color w:val="0F1115"/>
                <w:spacing w:val="0"/>
                <w:sz w:val="18"/>
                <w:szCs w:val="18"/>
                <w:shd w:val="clear" w:color="auto" w:fill="FFFFFF"/>
              </w:rPr>
              <w:t>。</w:t>
            </w:r>
          </w:p>
        </w:tc>
        <w:tc>
          <w:tcPr>
            <w:tcW w:w="908" w:type="dxa"/>
            <w:shd w:val="clear" w:color="auto" w:fill="auto"/>
            <w:tcMar>
              <w:top w:w="120" w:type="dxa"/>
              <w:left w:w="192" w:type="dxa"/>
              <w:bottom w:w="120" w:type="dxa"/>
              <w:right w:w="192" w:type="dxa"/>
            </w:tcMar>
            <w:vAlign w:val="center"/>
          </w:tcPr>
          <w:p w14:paraId="6DDC714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数智运营部、研究总院</w:t>
            </w:r>
          </w:p>
        </w:tc>
        <w:tc>
          <w:tcPr>
            <w:tcW w:w="1003" w:type="dxa"/>
            <w:shd w:val="clear" w:color="auto" w:fill="auto"/>
            <w:tcMar>
              <w:top w:w="120" w:type="dxa"/>
              <w:left w:w="192" w:type="dxa"/>
              <w:bottom w:w="120" w:type="dxa"/>
              <w:right w:w="0" w:type="dxa"/>
            </w:tcMar>
            <w:vAlign w:val="center"/>
          </w:tcPr>
          <w:p w14:paraId="19AA148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2025年Q</w:t>
            </w:r>
            <w:r>
              <w:rPr>
                <w:rFonts w:hint="eastAsia" w:ascii="Segoe UI" w:hAnsi="Segoe UI" w:eastAsia="Segoe UI" w:cs="Segoe UI"/>
                <w:i w:val="0"/>
                <w:iCs w:val="0"/>
                <w:caps w:val="0"/>
                <w:snapToGrid w:val="0"/>
                <w:color w:val="000000"/>
                <w:spacing w:val="0"/>
                <w:kern w:val="0"/>
                <w:sz w:val="18"/>
                <w:szCs w:val="18"/>
                <w:lang w:val="en-US" w:eastAsia="zh-CN"/>
              </w:rPr>
              <w:t>3</w:t>
            </w:r>
          </w:p>
        </w:tc>
      </w:tr>
    </w:tbl>
    <w:p w14:paraId="7FAB70F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手册研发标准：所有新编手册将遵循公司统一的模板与编写规范，确保结构清晰（概述、环境要求、操作步骤、故障处理、附录等）、语言准确、图文并茂，并纳入公司</w:t>
      </w:r>
      <w:r>
        <w:rPr>
          <w:rFonts w:hint="eastAsia"/>
          <w:lang w:val="en-US" w:eastAsia="zh-CN"/>
        </w:rPr>
        <w:t>服务知识</w:t>
      </w:r>
      <w:r>
        <w:rPr>
          <w:rFonts w:hint="default"/>
          <w:lang w:val="en-US" w:eastAsia="zh-CN"/>
        </w:rPr>
        <w:t>进行版本管理与共享。</w:t>
      </w:r>
    </w:p>
    <w:p w14:paraId="23EFA92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20260"/>
      <w:r>
        <w:rPr>
          <w:rFonts w:hint="default"/>
          <w:lang w:val="en-US" w:eastAsia="zh-CN"/>
        </w:rPr>
        <w:t>新技术研发规划</w:t>
      </w:r>
      <w:bookmarkEnd w:id="16"/>
    </w:p>
    <w:p w14:paraId="1086764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基于公司当前纯软件运维的业务背景及现有自动化工具的成功实践，为持续提升运维效率、扩展服务能力并构建技术壁垒，2025年度将启动以“运维智能化”与“流程超自动化”为核心的新技术研发探索。</w:t>
      </w:r>
    </w:p>
    <w:p w14:paraId="7A8F045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12109"/>
      <w:r>
        <w:rPr>
          <w:rFonts w:hint="default"/>
          <w:lang w:val="en-US" w:eastAsia="zh-CN"/>
        </w:rPr>
        <w:t>研发方向与目标</w:t>
      </w:r>
      <w:bookmarkEnd w:id="17"/>
    </w:p>
    <w:p w14:paraId="59E5E0B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本阶段新技术研发将聚焦以下两个方向：</w:t>
      </w:r>
    </w:p>
    <w:p w14:paraId="6680CCC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智能运维（AIOps）场景化应用探索：结合现有监控与运维数据，探索利用机器学习算法实现告警智能降噪、故障根因自动定位、以及系统容量与性能的趋势预测。目标是将部分人工经验判断转化为系统智能分析，实现从“被动响应”到“主动预防”的初期能力建设。</w:t>
      </w:r>
    </w:p>
    <w:p w14:paraId="2E867A2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超自动化流程拓展：在现有财务机器人等点状自动化成功的基础上，研究“机器人流程自动化（RPA）”与“低代码工作流”在更广泛运维场景（如跨系统数据同步、合规性自动检查、报告自动生成）中的集成与应用模式。目标是构建可复用的自动化组件库，降低新自动化场景的构建门槛与周期。</w:t>
      </w:r>
    </w:p>
    <w:p w14:paraId="652465C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807"/>
      <w:r>
        <w:rPr>
          <w:rFonts w:hint="default"/>
          <w:lang w:val="en-US" w:eastAsia="zh-CN"/>
        </w:rPr>
        <w:t>实施路径</w:t>
      </w:r>
      <w:bookmarkEnd w:id="18"/>
    </w:p>
    <w:p w14:paraId="3A11811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新技术研发将采用“小步快跑、试点先行”的策略：</w:t>
      </w:r>
    </w:p>
    <w:p w14:paraId="0B41EE5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预研与评估（2025年Q2-Q3）：成立虚拟技术小组，对AIOps开源框架（如Prometheus Stack的AI插件）和主流RPA平台进行技术选型评估，并选择1-2个高频率、规则清晰的运维场景（如日志错误模式识别、月度巡检报告生成）进行技术可行性验证与原型开发。</w:t>
      </w:r>
    </w:p>
    <w:p w14:paraId="790EAD9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试点与融合（2025年Q4）：将初步验证成功的原型在公司内部非核心环境中进行小范围试点运行，评估其稳定性、准确性与效率提升效果。同时，探索其与正在研发的“智能服务管理与分析平台”及“知识库”的数据接口与流程整合可能性。</w:t>
      </w:r>
    </w:p>
    <w:p w14:paraId="45F4C9E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13325"/>
      <w:r>
        <w:rPr>
          <w:rFonts w:hint="default"/>
          <w:lang w:val="en-US" w:eastAsia="zh-CN"/>
        </w:rPr>
        <w:t>资源投入</w:t>
      </w:r>
      <w:bookmarkEnd w:id="19"/>
    </w:p>
    <w:p w14:paraId="7416EBA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初期不设专职团队，由研究总院牵头，抽调数智运营部的业务骨干与</w:t>
      </w:r>
      <w:r>
        <w:rPr>
          <w:rFonts w:hint="eastAsia"/>
          <w:lang w:val="en-US" w:eastAsia="zh-CN"/>
        </w:rPr>
        <w:t>开发</w:t>
      </w:r>
      <w:r>
        <w:rPr>
          <w:rFonts w:hint="default"/>
          <w:lang w:val="en-US" w:eastAsia="zh-CN"/>
        </w:rPr>
        <w:t>工程师以兼职形式组成虚拟小组。年度预留 15万元 作为专项探索经费，用于外部的技术培训、云上实验资源及必要的概念验证（PoC）工具采购。本阶段重在能力建设和方向验证，为未来可能的规模化投入奠定基础。</w:t>
      </w:r>
    </w:p>
    <w:p w14:paraId="6DBE2199">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16299"/>
      <w:r>
        <w:rPr>
          <w:rFonts w:hint="default"/>
          <w:lang w:val="en-US" w:eastAsia="zh-CN"/>
        </w:rPr>
        <w:t>资源与经费</w:t>
      </w:r>
      <w:bookmarkEnd w:id="20"/>
    </w:p>
    <w:p w14:paraId="01C7C38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本次规划涉及多个研发项目，总预算将分阶段、按项目进行申请与投入。2025年度项目经费估算如下：</w:t>
      </w:r>
    </w:p>
    <w:p w14:paraId="12DC0134">
      <w:pPr>
        <w:pStyle w:val="29"/>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default"/>
          <w:lang w:val="en-US" w:eastAsia="zh-CN"/>
        </w:rPr>
        <w:t>表6-1 2025年度研发经费估算表</w:t>
      </w:r>
    </w:p>
    <w:tbl>
      <w:tblPr>
        <w:tblStyle w:val="20"/>
        <w:tblW w:w="84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88"/>
        <w:gridCol w:w="2252"/>
        <w:gridCol w:w="3586"/>
        <w:gridCol w:w="1969"/>
      </w:tblGrid>
      <w:tr w14:paraId="5AAE3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tblHeader/>
          <w:jc w:val="center"/>
        </w:trPr>
        <w:tc>
          <w:tcPr>
            <w:tcW w:w="688" w:type="dxa"/>
            <w:tcBorders>
              <w:top w:val="single" w:color="auto" w:sz="12"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4826D47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编号</w:t>
            </w:r>
          </w:p>
        </w:tc>
        <w:tc>
          <w:tcPr>
            <w:tcW w:w="2252"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0A2D74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开支项目</w:t>
            </w:r>
          </w:p>
        </w:tc>
        <w:tc>
          <w:tcPr>
            <w:tcW w:w="3586" w:type="dxa"/>
            <w:tcBorders>
              <w:top w:val="single" w:color="auto" w:sz="12"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DF913A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明细说明</w:t>
            </w:r>
          </w:p>
        </w:tc>
        <w:tc>
          <w:tcPr>
            <w:tcW w:w="1969" w:type="dxa"/>
            <w:tcBorders>
              <w:top w:val="single" w:color="auto" w:sz="12" w:space="0"/>
              <w:left w:val="single" w:color="auto" w:sz="4" w:space="0"/>
              <w:bottom w:val="single" w:color="auto" w:sz="4" w:space="0"/>
              <w:right w:val="single" w:color="auto" w:sz="12" w:space="0"/>
            </w:tcBorders>
            <w:shd w:val="clear" w:color="auto" w:fill="auto"/>
            <w:tcMar>
              <w:top w:w="120" w:type="dxa"/>
              <w:left w:w="192" w:type="dxa"/>
              <w:bottom w:w="120" w:type="dxa"/>
              <w:right w:w="192" w:type="dxa"/>
            </w:tcMar>
            <w:vAlign w:val="center"/>
          </w:tcPr>
          <w:p w14:paraId="595198A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金额（万元）</w:t>
            </w:r>
          </w:p>
        </w:tc>
      </w:tr>
      <w:tr w14:paraId="4EE7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EA8677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E6F4C1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人力资源成本</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7CB046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研发团队年度薪酬、福利及奖金</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0625A67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60</w:t>
            </w:r>
          </w:p>
        </w:tc>
      </w:tr>
      <w:tr w14:paraId="469DE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1A82718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F58BA7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软件与云资源采购</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6D0677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云服务器、存储及专业工具许可</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58E387A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12</w:t>
            </w:r>
          </w:p>
        </w:tc>
      </w:tr>
      <w:tr w14:paraId="2D8E1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5E1F16D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70F7D43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外包与咨询费用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917C18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特定模块开发、安全测试等</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2DCC25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4</w:t>
            </w:r>
          </w:p>
        </w:tc>
      </w:tr>
      <w:tr w14:paraId="7448A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9C254F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11FABD3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培训与推广费用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5442DB5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内部技术培训、试点项目推广</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64B41F2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4</w:t>
            </w:r>
          </w:p>
        </w:tc>
      </w:tr>
      <w:tr w14:paraId="65D1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0994CA8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6753747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手册研发费用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32E3A1A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运维手册研发费用</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77D731A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8</w:t>
            </w:r>
          </w:p>
        </w:tc>
      </w:tr>
      <w:tr w14:paraId="080FF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4" w:space="0"/>
              <w:right w:val="single" w:color="auto" w:sz="4" w:space="0"/>
            </w:tcBorders>
            <w:shd w:val="clear" w:color="auto" w:fill="auto"/>
            <w:tcMar>
              <w:top w:w="120" w:type="dxa"/>
              <w:left w:w="0" w:type="dxa"/>
              <w:bottom w:w="120" w:type="dxa"/>
              <w:right w:w="192" w:type="dxa"/>
            </w:tcMar>
            <w:vAlign w:val="center"/>
          </w:tcPr>
          <w:p w14:paraId="2A21021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6</w:t>
            </w:r>
          </w:p>
        </w:tc>
        <w:tc>
          <w:tcPr>
            <w:tcW w:w="2252"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4504FF0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新技术研发费用</w:t>
            </w:r>
          </w:p>
        </w:tc>
        <w:tc>
          <w:tcPr>
            <w:tcW w:w="3586"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92" w:type="dxa"/>
            </w:tcMar>
            <w:vAlign w:val="center"/>
          </w:tcPr>
          <w:p w14:paraId="274862D9">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AIOps及超自动化方向预研、技术培训、PoC验证资源</w:t>
            </w:r>
          </w:p>
        </w:tc>
        <w:tc>
          <w:tcPr>
            <w:tcW w:w="1969" w:type="dxa"/>
            <w:tcBorders>
              <w:top w:val="single" w:color="auto" w:sz="4" w:space="0"/>
              <w:left w:val="single" w:color="auto" w:sz="4" w:space="0"/>
              <w:bottom w:val="single" w:color="auto" w:sz="4" w:space="0"/>
              <w:right w:val="single" w:color="auto" w:sz="12" w:space="0"/>
            </w:tcBorders>
            <w:shd w:val="clear" w:color="auto" w:fill="auto"/>
            <w:tcMar>
              <w:top w:w="120" w:type="dxa"/>
              <w:left w:w="192" w:type="dxa"/>
              <w:bottom w:w="120" w:type="dxa"/>
              <w:right w:w="0" w:type="dxa"/>
            </w:tcMar>
            <w:vAlign w:val="center"/>
          </w:tcPr>
          <w:p w14:paraId="32B526B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15</w:t>
            </w:r>
          </w:p>
        </w:tc>
      </w:tr>
      <w:tr w14:paraId="32CAE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0" w:hRule="atLeast"/>
          <w:jc w:val="center"/>
        </w:trPr>
        <w:tc>
          <w:tcPr>
            <w:tcW w:w="688" w:type="dxa"/>
            <w:tcBorders>
              <w:top w:val="single" w:color="auto" w:sz="4" w:space="0"/>
              <w:left w:val="single" w:color="auto" w:sz="12" w:space="0"/>
              <w:bottom w:val="single" w:color="auto" w:sz="12" w:space="0"/>
              <w:right w:val="single" w:color="auto" w:sz="4" w:space="0"/>
            </w:tcBorders>
            <w:shd w:val="clear" w:color="auto" w:fill="auto"/>
            <w:tcMar>
              <w:top w:w="120" w:type="dxa"/>
              <w:left w:w="0" w:type="dxa"/>
              <w:bottom w:w="120" w:type="dxa"/>
              <w:right w:w="192" w:type="dxa"/>
            </w:tcMar>
            <w:vAlign w:val="center"/>
          </w:tcPr>
          <w:p w14:paraId="3D36DE5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18"/>
                <w:szCs w:val="18"/>
                <w:lang w:val="en-US" w:eastAsia="zh-CN"/>
              </w:rPr>
            </w:pPr>
            <w:r>
              <w:rPr>
                <w:rFonts w:hint="eastAsia" w:ascii="Segoe UI" w:hAnsi="Segoe UI" w:eastAsia="Segoe UI" w:cs="Segoe UI"/>
                <w:i w:val="0"/>
                <w:iCs w:val="0"/>
                <w:caps w:val="0"/>
                <w:snapToGrid w:val="0"/>
                <w:color w:val="000000"/>
                <w:spacing w:val="0"/>
                <w:kern w:val="0"/>
                <w:sz w:val="18"/>
                <w:szCs w:val="18"/>
                <w:lang w:val="en-US" w:eastAsia="zh-CN"/>
              </w:rPr>
              <w:t>7</w:t>
            </w:r>
          </w:p>
        </w:tc>
        <w:tc>
          <w:tcPr>
            <w:tcW w:w="2252"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2648C49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eastAsia" w:ascii="Segoe UI" w:hAnsi="Segoe UI" w:eastAsia="Segoe UI" w:cs="Segoe UI"/>
                <w:b/>
                <w:bCs/>
                <w:i w:val="0"/>
                <w:iCs w:val="0"/>
                <w:caps w:val="0"/>
                <w:snapToGrid w:val="0"/>
                <w:color w:val="000000"/>
                <w:spacing w:val="0"/>
                <w:kern w:val="0"/>
                <w:sz w:val="18"/>
                <w:szCs w:val="18"/>
                <w:lang w:val="en-US" w:eastAsia="zh-CN"/>
              </w:rPr>
              <w:t>总计</w:t>
            </w:r>
          </w:p>
        </w:tc>
        <w:tc>
          <w:tcPr>
            <w:tcW w:w="3586" w:type="dxa"/>
            <w:tcBorders>
              <w:top w:val="single" w:color="auto" w:sz="4" w:space="0"/>
              <w:left w:val="single" w:color="auto" w:sz="4" w:space="0"/>
              <w:bottom w:val="single" w:color="auto" w:sz="12" w:space="0"/>
              <w:right w:val="single" w:color="auto" w:sz="4" w:space="0"/>
            </w:tcBorders>
            <w:shd w:val="clear" w:color="auto" w:fill="auto"/>
            <w:tcMar>
              <w:top w:w="120" w:type="dxa"/>
              <w:left w:w="192" w:type="dxa"/>
              <w:bottom w:w="120" w:type="dxa"/>
              <w:right w:w="192" w:type="dxa"/>
            </w:tcMar>
            <w:vAlign w:val="center"/>
          </w:tcPr>
          <w:p w14:paraId="7F3E61B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w:t>
            </w:r>
          </w:p>
        </w:tc>
        <w:tc>
          <w:tcPr>
            <w:tcW w:w="1969"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0" w:type="dxa"/>
            </w:tcMar>
            <w:vAlign w:val="center"/>
          </w:tcPr>
          <w:p w14:paraId="4F67DED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103</w:t>
            </w:r>
          </w:p>
        </w:tc>
      </w:tr>
    </w:tbl>
    <w:p w14:paraId="47AD9FB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D648C">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F598E87"/>
    <w:multiLevelType w:val="singleLevel"/>
    <w:tmpl w:val="EF598E87"/>
    <w:lvl w:ilvl="0" w:tentative="0">
      <w:start w:val="1"/>
      <w:numFmt w:val="decimal"/>
      <w:lvlText w:val="%1."/>
      <w:lvlJc w:val="left"/>
      <w:pPr>
        <w:ind w:left="425" w:hanging="425"/>
      </w:pPr>
      <w:rPr>
        <w:rFonts w:hint="default"/>
      </w:rPr>
    </w:lvl>
  </w:abstractNum>
  <w:abstractNum w:abstractNumId="2">
    <w:nsid w:val="26612608"/>
    <w:multiLevelType w:val="singleLevel"/>
    <w:tmpl w:val="26612608"/>
    <w:lvl w:ilvl="0" w:tentative="0">
      <w:start w:val="1"/>
      <w:numFmt w:val="decimal"/>
      <w:lvlText w:val="%1."/>
      <w:lvlJc w:val="left"/>
      <w:pPr>
        <w:ind w:left="425" w:hanging="425"/>
      </w:pPr>
      <w:rPr>
        <w:rFonts w:hint="default"/>
      </w:rPr>
    </w:lvl>
  </w:abstractNum>
  <w:abstractNum w:abstractNumId="3">
    <w:nsid w:val="2956C0F8"/>
    <w:multiLevelType w:val="singleLevel"/>
    <w:tmpl w:val="2956C0F8"/>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C7F660C"/>
    <w:rsid w:val="1EDF44F4"/>
    <w:rsid w:val="47EE0026"/>
    <w:rsid w:val="51B9660A"/>
    <w:rsid w:val="62F267D4"/>
    <w:rsid w:val="6D502B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1853</Words>
  <Characters>2014</Characters>
  <Lines>0</Lines>
  <Paragraphs>0</Paragraphs>
  <TotalTime>0</TotalTime>
  <ScaleCrop>false</ScaleCrop>
  <LinksUpToDate>false</LinksUpToDate>
  <CharactersWithSpaces>2100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2026-02-06T05:33:41Z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