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C6E42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909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6BFAAB99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7216"/>
      <w:r>
        <w:rPr>
          <w:rFonts w:hint="eastAsia"/>
          <w:lang w:val="en-US" w:eastAsia="zh-CN"/>
        </w:rPr>
        <w:t>2025年1-11月运维服务技术研发报告</w:t>
      </w:r>
      <w:bookmarkEnd w:id="1"/>
    </w:p>
    <w:p w14:paraId="5858AB4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BAF8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FEAF0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研究总院</w:t>
            </w:r>
          </w:p>
        </w:tc>
        <w:tc>
          <w:tcPr>
            <w:tcW w:w="2708" w:type="dxa"/>
          </w:tcPr>
          <w:p w14:paraId="6C513C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3E1B1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A0418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DEBF2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3285C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223AC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71E5CC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 w14:paraId="6A7B5FA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4F0542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359E5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3B6B3F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6D2224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BD0F9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542A7F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2FBA8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549495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9E8DB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0C97F2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18ADE9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5E84A8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05A26C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熊发云</w:t>
            </w:r>
          </w:p>
        </w:tc>
        <w:tc>
          <w:tcPr>
            <w:tcW w:w="1606" w:type="dxa"/>
          </w:tcPr>
          <w:p w14:paraId="4E803A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6EE7D9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4B9657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80EFAB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3756A0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78829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39C162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1AF7DA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570A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E428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3A9D93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6D5E30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34ED0C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BDA5F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58FB39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FE2A81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FA681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AA43A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FC80FC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3074C5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682AC6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7AE17C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BD960B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210754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8C18A3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876B026">
          <w:pPr>
            <w:pStyle w:val="16"/>
            <w:tabs>
              <w:tab w:val="right" w:leader="dot" w:pos="8306"/>
            </w:tabs>
          </w:pPr>
          <w:bookmarkStart w:id="16" w:name="_GoBack"/>
          <w:bookmarkEnd w:id="16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_Toc29090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FD89A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_Toc17216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2025年1-11月运维服务技术研发报告</w:t>
          </w:r>
          <w:r>
            <w:tab/>
          </w:r>
          <w:r>
            <w:fldChar w:fldCharType="begin"/>
          </w:r>
          <w:r>
            <w:instrText xml:space="preserve"> PAGEREF _Toc17216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06233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年度研发工作概述</w:t>
          </w:r>
          <w:r>
            <w:tab/>
          </w:r>
          <w:r>
            <w:fldChar w:fldCharType="begin"/>
          </w:r>
          <w:r>
            <w:instrText xml:space="preserve"> PAGEREF _Toc3974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A5F38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翔云-服务价值平台</w:t>
          </w:r>
          <w:r>
            <w:tab/>
          </w:r>
          <w:r>
            <w:fldChar w:fldCharType="begin"/>
          </w:r>
          <w:r>
            <w:instrText xml:space="preserve"> PAGEREF _Toc1728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2E5C7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服务知识管理模块</w:t>
          </w:r>
          <w:r>
            <w:tab/>
          </w:r>
          <w:r>
            <w:fldChar w:fldCharType="begin"/>
          </w:r>
          <w:r>
            <w:instrText xml:space="preserve"> PAGEREF _Toc28317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D469F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2.1.1. </w:t>
          </w:r>
          <w:r>
            <w:rPr>
              <w:rFonts w:hint="eastAsia"/>
              <w:lang w:val="en-US" w:eastAsia="zh-CN"/>
            </w:rPr>
            <w:t>服务知识管理</w:t>
          </w:r>
          <w:r>
            <w:tab/>
          </w:r>
          <w:r>
            <w:fldChar w:fldCharType="begin"/>
          </w:r>
          <w:r>
            <w:instrText xml:space="preserve"> PAGEREF _Toc26967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48B53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服务知识类别</w:t>
          </w:r>
          <w:r>
            <w:tab/>
          </w:r>
          <w:r>
            <w:fldChar w:fldCharType="begin"/>
          </w:r>
          <w:r>
            <w:instrText xml:space="preserve"> PAGEREF _Toc20836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ECA71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2.1.3. </w:t>
          </w:r>
          <w:r>
            <w:rPr>
              <w:rFonts w:hint="eastAsia"/>
              <w:lang w:val="en-US" w:eastAsia="zh-CN"/>
            </w:rPr>
            <w:t>服务知识导入</w:t>
          </w:r>
          <w:r>
            <w:tab/>
          </w:r>
          <w:r>
            <w:fldChar w:fldCharType="begin"/>
          </w:r>
          <w:r>
            <w:instrText xml:space="preserve"> PAGEREF _Toc768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2A17A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客户满意度调查模块</w:t>
          </w:r>
          <w:r>
            <w:tab/>
          </w:r>
          <w:r>
            <w:fldChar w:fldCharType="begin"/>
          </w:r>
          <w:r>
            <w:instrText xml:space="preserve"> PAGEREF _Toc6549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F9A5F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2.2.1. </w:t>
          </w:r>
          <w:r>
            <w:rPr>
              <w:rFonts w:hint="eastAsia"/>
              <w:lang w:val="en-US" w:eastAsia="zh-CN"/>
            </w:rPr>
            <w:t>满意度调查项配置</w:t>
          </w:r>
          <w:r>
            <w:tab/>
          </w:r>
          <w:r>
            <w:fldChar w:fldCharType="begin"/>
          </w:r>
          <w:r>
            <w:instrText xml:space="preserve"> PAGEREF _Toc22924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1BF23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2.2.2. </w:t>
          </w:r>
          <w:r>
            <w:rPr>
              <w:rFonts w:hint="eastAsia"/>
              <w:lang w:val="en-US" w:eastAsia="zh-CN"/>
            </w:rPr>
            <w:t>满意度问卷导入</w:t>
          </w:r>
          <w:r>
            <w:tab/>
          </w:r>
          <w:r>
            <w:fldChar w:fldCharType="begin"/>
          </w:r>
          <w:r>
            <w:instrText xml:space="preserve"> PAGEREF _Toc15542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7E736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_Toc24444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2.2.3. </w:t>
          </w:r>
          <w:r>
            <w:rPr>
              <w:rFonts w:hint="eastAsia"/>
              <w:lang w:val="en-US" w:eastAsia="zh-CN"/>
            </w:rPr>
            <w:t>调查问卷发放</w:t>
          </w:r>
          <w:r>
            <w:tab/>
          </w:r>
          <w:r>
            <w:fldChar w:fldCharType="begin"/>
          </w:r>
          <w:r>
            <w:instrText xml:space="preserve"> PAGEREF _Toc24444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5B304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运维手册研发情况</w:t>
          </w:r>
          <w:r>
            <w:tab/>
          </w:r>
          <w:r>
            <w:fldChar w:fldCharType="begin"/>
          </w:r>
          <w:r>
            <w:instrText xml:space="preserve"> PAGEREF _Toc12813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1BCAA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新技术研发进展情况</w:t>
          </w:r>
          <w:r>
            <w:tab/>
          </w:r>
          <w:r>
            <w:fldChar w:fldCharType="begin"/>
          </w:r>
          <w:r>
            <w:instrText xml:space="preserve"> PAGEREF _Toc27295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AB984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_Toc19786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资金使用情况</w:t>
          </w:r>
          <w:r>
            <w:tab/>
          </w:r>
          <w:r>
            <w:fldChar w:fldCharType="begin"/>
          </w:r>
          <w:r>
            <w:instrText xml:space="preserve"> PAGEREF _Toc19786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884F6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总结与展望</w:t>
          </w:r>
          <w:r>
            <w:tab/>
          </w:r>
          <w:r>
            <w:fldChar w:fldCharType="begin"/>
          </w:r>
          <w:r>
            <w:instrText xml:space="preserve"> PAGEREF _Toc26779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8B849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1D2BBE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CD8687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3974"/>
      <w:r>
        <w:rPr>
          <w:rFonts w:hint="default"/>
          <w:lang w:val="en-US" w:eastAsia="zh-CN"/>
        </w:rPr>
        <w:t>年度研发工作概述</w:t>
      </w:r>
      <w:bookmarkEnd w:id="2"/>
    </w:p>
    <w:p w14:paraId="1CCE8AF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度，研究总院严格遵循《运维服务技术研发规划》的指引，聚焦“数智运营”转型目标，协同各业务部门，扎实推进各项研发任务。本年度核心目标是构建“管理智能、知识内嵌、操作自动、文档规范”的运维能力体系。截至报告期末，规划内主要项目均已完成或超额完成阶段性目标，新技术探索取得初步成果，资金使用符合预算计划，为公司运维服务能力的升级奠定了坚实的技术基础。</w:t>
      </w:r>
    </w:p>
    <w:p w14:paraId="742CF548">
      <w:pPr>
        <w:pStyle w:val="28"/>
        <w:bidi w:val="0"/>
        <w:rPr>
          <w:rFonts w:hint="default"/>
          <w:lang w:val="en-US" w:eastAsia="zh-CN"/>
        </w:rPr>
      </w:pPr>
      <w:bookmarkStart w:id="3" w:name="_Toc1728"/>
      <w:r>
        <w:rPr>
          <w:rFonts w:hint="eastAsia"/>
          <w:lang w:val="en-US" w:eastAsia="zh-CN"/>
        </w:rPr>
        <w:t>翔云-服务价值平台</w:t>
      </w:r>
      <w:bookmarkEnd w:id="3"/>
    </w:p>
    <w:p w14:paraId="11C08F4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完成状态：已上线并进入全面推广阶段。</w:t>
      </w:r>
    </w:p>
    <w:p w14:paraId="41672C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项目进展情况如下：</w:t>
      </w:r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6"/>
        <w:gridCol w:w="5982"/>
      </w:tblGrid>
      <w:tr w14:paraId="46AA0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51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C32E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规划内容</w:t>
            </w:r>
          </w:p>
        </w:tc>
        <w:tc>
          <w:tcPr>
            <w:tcW w:w="59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7493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实际完成情况</w:t>
            </w:r>
          </w:p>
        </w:tc>
      </w:tr>
      <w:tr w14:paraId="42771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1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EDBC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第一阶段：需求分析与平台设计（1-3月）</w:t>
            </w:r>
          </w:p>
        </w:tc>
        <w:tc>
          <w:tcPr>
            <w:tcW w:w="5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FD5E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已完成业务调研、产品原型与交互设计，技术架构方案通过评审。</w:t>
            </w:r>
          </w:p>
        </w:tc>
      </w:tr>
      <w:tr w14:paraId="033DD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1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E788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第二阶段：核心功能开发（4-6月）</w:t>
            </w:r>
          </w:p>
        </w:tc>
        <w:tc>
          <w:tcPr>
            <w:tcW w:w="5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D9DB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完成服务知识管理模块（知识条目管理、分类标签、Excel导入）与客户满意度调查模块（调查项配置、问卷手动发放）的开发。</w:t>
            </w:r>
          </w:p>
        </w:tc>
      </w:tr>
      <w:tr w14:paraId="3F632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1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8516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第三阶段：智能功能与数据分析开发（7-9月）</w:t>
            </w:r>
          </w:p>
        </w:tc>
        <w:tc>
          <w:tcPr>
            <w:tcW w:w="5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904E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完成知识关联与应用功能、满意度结果自动汇总与统计分析模块，并完成服务价值可视化报表基础开发。</w:t>
            </w:r>
          </w:p>
        </w:tc>
      </w:tr>
      <w:tr w14:paraId="185D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1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42E8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第四阶段：系统集成、测试与试点运行（10月）</w:t>
            </w:r>
          </w:p>
        </w:tc>
        <w:tc>
          <w:tcPr>
            <w:tcW w:w="59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B583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已完成系统集成测试、性能与安全测试，并于数智运维部试点运行，反馈良好，正在组织全面推广。</w:t>
            </w:r>
          </w:p>
        </w:tc>
      </w:tr>
    </w:tbl>
    <w:p w14:paraId="0395C9AA">
      <w:pPr>
        <w:pStyle w:val="30"/>
        <w:bidi w:val="0"/>
        <w:rPr>
          <w:rFonts w:hint="eastAsia"/>
          <w:lang w:val="en-US" w:eastAsia="zh-CN"/>
        </w:rPr>
      </w:pPr>
      <w:bookmarkStart w:id="4" w:name="_Toc28317"/>
      <w:r>
        <w:rPr>
          <w:rFonts w:hint="eastAsia"/>
          <w:lang w:val="en-US" w:eastAsia="zh-CN"/>
        </w:rPr>
        <w:t>服务知识管理模块</w:t>
      </w:r>
      <w:bookmarkEnd w:id="4"/>
    </w:p>
    <w:p w14:paraId="11649159">
      <w:pPr>
        <w:pStyle w:val="31"/>
        <w:bidi w:val="0"/>
        <w:rPr>
          <w:rFonts w:hint="eastAsia"/>
          <w:lang w:val="en-US" w:eastAsia="zh-CN"/>
        </w:rPr>
      </w:pPr>
      <w:bookmarkStart w:id="5" w:name="_Toc26967"/>
      <w:r>
        <w:rPr>
          <w:rFonts w:hint="eastAsia"/>
          <w:lang w:val="en-US" w:eastAsia="zh-CN"/>
        </w:rPr>
        <w:t>服务知识管理</w:t>
      </w:r>
      <w:bookmarkEnd w:id="5"/>
    </w:p>
    <w:p w14:paraId="5EA079BB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支持服务知识新增、编辑、导出、搜索和列表查看等功能</w:t>
      </w:r>
    </w:p>
    <w:p w14:paraId="5C7DFC6C">
      <w:pPr>
        <w:pStyle w:val="29"/>
      </w:pPr>
      <w:r>
        <w:drawing>
          <wp:inline distT="0" distB="0" distL="114300" distR="114300">
            <wp:extent cx="5271135" cy="2056765"/>
            <wp:effectExtent l="0" t="0" r="190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3830C">
      <w:pPr>
        <w:pStyle w:val="31"/>
        <w:bidi w:val="0"/>
        <w:rPr>
          <w:rFonts w:hint="default"/>
          <w:lang w:val="en-US" w:eastAsia="zh-CN"/>
        </w:rPr>
      </w:pPr>
      <w:bookmarkStart w:id="6" w:name="_Toc20836"/>
      <w:r>
        <w:rPr>
          <w:rFonts w:hint="eastAsia"/>
          <w:lang w:val="en-US" w:eastAsia="zh-CN"/>
        </w:rPr>
        <w:t>服务知识类别</w:t>
      </w:r>
      <w:bookmarkEnd w:id="6"/>
    </w:p>
    <w:p w14:paraId="1EE4D04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支持对服务知识进行分类，默认为技术知识、运维文档、流程规范、培训资料。同时可对分类进行新增、编辑、删除等。</w:t>
      </w:r>
    </w:p>
    <w:p w14:paraId="7A2C31D3">
      <w:pPr>
        <w:pStyle w:val="29"/>
        <w:rPr>
          <w:rFonts w:hint="eastAsia"/>
          <w:lang w:val="en-US" w:eastAsia="zh-CN"/>
        </w:rPr>
      </w:pPr>
      <w:r>
        <w:drawing>
          <wp:inline distT="0" distB="0" distL="114300" distR="114300">
            <wp:extent cx="5262245" cy="1522095"/>
            <wp:effectExtent l="0" t="0" r="10795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61CC6">
      <w:pPr>
        <w:pStyle w:val="31"/>
        <w:bidi w:val="0"/>
        <w:rPr>
          <w:rFonts w:hint="default"/>
          <w:lang w:val="en-US" w:eastAsia="zh-CN"/>
        </w:rPr>
      </w:pPr>
      <w:bookmarkStart w:id="7" w:name="_Toc768"/>
      <w:r>
        <w:rPr>
          <w:rFonts w:hint="eastAsia"/>
          <w:lang w:val="en-US" w:eastAsia="zh-CN"/>
        </w:rPr>
        <w:t>服务知识导入</w:t>
      </w:r>
      <w:bookmarkEnd w:id="7"/>
    </w:p>
    <w:p w14:paraId="57E90ADA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支持xlsx和xls格式的导入。</w:t>
      </w:r>
      <w:r>
        <w:drawing>
          <wp:inline distT="0" distB="0" distL="114300" distR="114300">
            <wp:extent cx="5262880" cy="1844040"/>
            <wp:effectExtent l="0" t="0" r="1016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EA08C">
      <w:pPr>
        <w:pStyle w:val="30"/>
        <w:bidi w:val="0"/>
        <w:rPr>
          <w:rFonts w:hint="default"/>
          <w:lang w:val="en-US" w:eastAsia="zh-CN"/>
        </w:rPr>
      </w:pPr>
      <w:bookmarkStart w:id="8" w:name="_Toc6549"/>
      <w:r>
        <w:rPr>
          <w:rFonts w:hint="eastAsia"/>
          <w:lang w:val="en-US" w:eastAsia="zh-CN"/>
        </w:rPr>
        <w:t>客户满意度调查模块</w:t>
      </w:r>
      <w:bookmarkEnd w:id="8"/>
    </w:p>
    <w:p w14:paraId="08CB8944">
      <w:pPr>
        <w:pStyle w:val="31"/>
        <w:bidi w:val="0"/>
        <w:rPr>
          <w:rFonts w:hint="eastAsia"/>
          <w:lang w:val="en-US" w:eastAsia="zh-CN"/>
        </w:rPr>
      </w:pPr>
      <w:bookmarkStart w:id="9" w:name="_Toc22924"/>
      <w:r>
        <w:rPr>
          <w:rFonts w:hint="eastAsia"/>
          <w:lang w:val="en-US" w:eastAsia="zh-CN"/>
        </w:rPr>
        <w:t>满意度调查项配置</w:t>
      </w:r>
      <w:bookmarkEnd w:id="9"/>
    </w:p>
    <w:p w14:paraId="0B036D7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对满意度调查项进行自主配置，实现按需调查目的</w:t>
      </w:r>
    </w:p>
    <w:p w14:paraId="1D167F51">
      <w:pPr>
        <w:pStyle w:val="29"/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2875280"/>
            <wp:effectExtent l="0" t="0" r="10160" b="508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E9CD5">
      <w:pPr>
        <w:pStyle w:val="31"/>
        <w:bidi w:val="0"/>
        <w:rPr>
          <w:rFonts w:hint="eastAsia"/>
          <w:lang w:val="en-US" w:eastAsia="zh-CN"/>
        </w:rPr>
      </w:pPr>
      <w:bookmarkStart w:id="10" w:name="_Toc15542"/>
      <w:r>
        <w:rPr>
          <w:rFonts w:hint="eastAsia"/>
          <w:lang w:val="en-US" w:eastAsia="zh-CN"/>
        </w:rPr>
        <w:t>满意度问卷导入</w:t>
      </w:r>
      <w:bookmarkEnd w:id="10"/>
    </w:p>
    <w:p w14:paraId="78FD4022">
      <w:pPr>
        <w:pStyle w:val="29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1750695"/>
            <wp:effectExtent l="0" t="0" r="3175" b="190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9E05C">
      <w:pPr>
        <w:pStyle w:val="31"/>
        <w:bidi w:val="0"/>
        <w:rPr>
          <w:rFonts w:hint="default"/>
          <w:lang w:val="en-US" w:eastAsia="zh-CN"/>
        </w:rPr>
      </w:pPr>
      <w:bookmarkStart w:id="11" w:name="_Toc24444"/>
      <w:r>
        <w:rPr>
          <w:rFonts w:hint="eastAsia"/>
          <w:lang w:val="en-US" w:eastAsia="zh-CN"/>
        </w:rPr>
        <w:t>调查问卷发放</w:t>
      </w:r>
      <w:bookmarkEnd w:id="11"/>
    </w:p>
    <w:p w14:paraId="4DEB7DC6">
      <w:pPr>
        <w:pStyle w:val="29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661795"/>
            <wp:effectExtent l="0" t="0" r="4445" b="1460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8A67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2813"/>
      <w:r>
        <w:rPr>
          <w:rFonts w:hint="default"/>
          <w:lang w:val="en-US" w:eastAsia="zh-CN"/>
        </w:rPr>
        <w:t>运维手册研发情况</w:t>
      </w:r>
      <w:bookmarkEnd w:id="12"/>
    </w:p>
    <w:p w14:paraId="64EEC87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完成状态：年度计划手册全部</w:t>
      </w:r>
      <w:r>
        <w:rPr>
          <w:rFonts w:hint="eastAsia"/>
          <w:lang w:val="en-US" w:eastAsia="zh-CN"/>
        </w:rPr>
        <w:t>完成</w:t>
      </w:r>
      <w:r>
        <w:rPr>
          <w:rFonts w:hint="default"/>
          <w:lang w:val="en-US" w:eastAsia="zh-CN"/>
        </w:rPr>
        <w:t>。</w:t>
      </w:r>
    </w:p>
    <w:p w14:paraId="43BFE0F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核心成果：严格按《手册研发计划表》推进，完成了关键手册的标准化研发：</w:t>
      </w:r>
    </w:p>
    <w:p w14:paraId="3655F6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《财务机器人系列运维手册》：已于Q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发布，涵盖了往来核销、报表自动化等机器人的全生命周期操作指南，成为相关岗位的必备工具书。</w:t>
      </w:r>
    </w:p>
    <w:p w14:paraId="5FE0E1B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《零信任安全接入平台运维手册》：Q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发布，整合了客户端部署、日常故障排查（FAQ）及应急流程，使零信任相关的支持效率提升30%。</w:t>
      </w:r>
    </w:p>
    <w:p w14:paraId="7051C485">
      <w:pPr>
        <w:pStyle w:val="29"/>
        <w:bidi w:val="0"/>
      </w:pPr>
      <w:r>
        <w:t>《数据库系统标准化运维手册》：Q3正式发布，覆盖MySQL数据库的架构规范、巡检清单、备份恢复、性能优化及故障应急流程，已作为公司级数据库运维的统一标准，在翔云系统等多个项目中应用，显著提升了数据库运维的规范性与事故响应效率。</w:t>
      </w:r>
    </w:p>
    <w:p w14:paraId="1833435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标准化建设：所有新编手册均遵循公司统一模板，结构清晰、图文并茂，并建立了与知识库联动的定期评审与更新机制，初步形成了体系化的运维知识资产。</w:t>
      </w:r>
    </w:p>
    <w:p w14:paraId="129A5BC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27295"/>
      <w:r>
        <w:rPr>
          <w:rFonts w:hint="default"/>
          <w:lang w:val="en-US" w:eastAsia="zh-CN"/>
        </w:rPr>
        <w:t>新技术研发进展情况</w:t>
      </w:r>
      <w:bookmarkEnd w:id="13"/>
    </w:p>
    <w:p w14:paraId="346A7C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完成状态：预研与评估阶段顺利完成，已进入原型验证阶段。</w:t>
      </w:r>
    </w:p>
    <w:p w14:paraId="20CD863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核心进展：</w:t>
      </w:r>
    </w:p>
    <w:p w14:paraId="65333AE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Ops场景探索：Q2-Q3期间，技术虚拟小组完成了对开源框架的技术评估。Q4起，已选取“Nginx访问日志错误模式自动识别”作为首个PoC场景，目前原型系统正在测试环境中运行，初步验证了通过简单规则引擎实现异常模式过滤的可行性。</w:t>
      </w:r>
    </w:p>
    <w:p w14:paraId="2E03BB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超自动化流程拓展：基于现有RPA经验，对低代码工作流平台进行了选型研究。已完成“月度运维报告数据自动采集与生成”流程的设计，计划于12月进行自动化流程部署测试。</w:t>
      </w:r>
    </w:p>
    <w:p w14:paraId="6D2DC73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融合探索：已初步规划了智能告警事件与知识库解决方案、自动化流程的联动接口方案，为2026年深度集成打下基础。</w:t>
      </w:r>
    </w:p>
    <w:p w14:paraId="5AAC622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阶段结论：本年度新技术研发工作实现了从0到1的突破，明确了技术路线，积累了初步实践经验，达到了“能力建设和方向验证”的预期目标。</w:t>
      </w:r>
    </w:p>
    <w:p w14:paraId="2C2F804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19786"/>
      <w:r>
        <w:rPr>
          <w:rFonts w:hint="default"/>
          <w:lang w:val="en-US" w:eastAsia="zh-CN"/>
        </w:rPr>
        <w:t>资金使用情况</w:t>
      </w:r>
      <w:bookmarkEnd w:id="14"/>
    </w:p>
    <w:p w14:paraId="6A4D6AF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2025年度，研发规划预算总额为103万元。截至2025年11月20日，实际支出共计96.8万元，预算执行率为94%，资金使用健康、合理，主要支出情况如下：</w:t>
      </w:r>
    </w:p>
    <w:p w14:paraId="126F986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人力资源成本（60万元预算）：实际支出60万元，执行率100%。为研发团队薪酬、奖金，是项目顺利推进的根本保障。</w:t>
      </w:r>
    </w:p>
    <w:p w14:paraId="24B3ADD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软硬件及云资源采购（12万元预算）：实际支出11.5万元。主要用于智能平台生产环境云服务器租赁及部分商业BI组件许可采购。</w:t>
      </w:r>
    </w:p>
    <w:p w14:paraId="6E1465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专项费用（31万元预算）：</w:t>
      </w:r>
    </w:p>
    <w:p w14:paraId="37FF979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手册研发（8万元）：实际支出7.8万元，用于手册编写、评审及</w:t>
      </w:r>
      <w:r>
        <w:rPr>
          <w:rFonts w:hint="eastAsia"/>
          <w:lang w:val="en-US" w:eastAsia="zh-CN"/>
        </w:rPr>
        <w:t>知识</w:t>
      </w:r>
      <w:r>
        <w:rPr>
          <w:rFonts w:hint="default"/>
          <w:lang w:val="en-US" w:eastAsia="zh-CN"/>
        </w:rPr>
        <w:t>适配。</w:t>
      </w:r>
    </w:p>
    <w:p w14:paraId="25620E3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新技术研发（15万元）：实际支出13.5万元，用于技术培训、PoC环境搭建及外部专家咨询。</w:t>
      </w:r>
    </w:p>
    <w:p w14:paraId="53D7C3C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外包咨询与培训推广（8万元）：实际支出4万元，主要用于安全测试服务及内部推广活动，部分培训计划调整至2026年初执行，故有结余。</w:t>
      </w:r>
    </w:p>
    <w:p w14:paraId="13760C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资金结余：累计结余6.2万元，主要为部分软硬件采购的节余及调整至下年度的培训费用。所有结余资金将按公司财务制度管理，可用于规划内项目的后续优化或经批准后转入下年度研发计划。</w:t>
      </w:r>
    </w:p>
    <w:p w14:paraId="64319FB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6779"/>
      <w:r>
        <w:rPr>
          <w:rFonts w:hint="default"/>
          <w:lang w:val="en-US" w:eastAsia="zh-CN"/>
        </w:rPr>
        <w:t>总结与展望</w:t>
      </w:r>
      <w:bookmarkEnd w:id="15"/>
    </w:p>
    <w:p w14:paraId="30E28B4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2025年度运维服务技术研发工作整体达成既定目标，在平台智能化、知识体系化、操作自动化及技术前瞻性等方面均取得了实质性进展。这些成果直接提升了运维服务的效率、质量与客户感知。</w:t>
      </w:r>
    </w:p>
    <w:p w14:paraId="0E2E7C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展望2026年，研究总院将在巩固本年度成果的基础上，重点推进智能服务平台的深化应用与全国推广，完成知识库系统的全面优化，并依据本年度的预研成果，审慎推进1-2个AIOps或超自动化场景的试点落地，持续驱动公司运维服务能力与核心竞争力的提升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320287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1E9072B"/>
    <w:rsid w:val="3ECE311B"/>
    <w:rsid w:val="4771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2157</Words>
  <Characters>2338</Characters>
  <Lines>0</Lines>
  <Paragraphs>0</Paragraphs>
  <TotalTime>0</TotalTime>
  <ScaleCrop>false</ScaleCrop>
  <LinksUpToDate>false</LinksUpToDate>
  <CharactersWithSpaces>2376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2026-02-06T05:33:30Z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