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1875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80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1306CC2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886"/>
      <w:r>
        <w:rPr>
          <w:rFonts w:hint="eastAsia"/>
          <w:lang w:val="en-US" w:eastAsia="zh-CN"/>
        </w:rPr>
        <w:t>最终软件库管理制度</w:t>
      </w:r>
      <w:bookmarkEnd w:id="1"/>
    </w:p>
    <w:p w14:paraId="4615DA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557B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9F4C6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80835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4AFC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13C3B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CC399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15E4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6F37D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4F91F4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C046BB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75F111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8A371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9DE0F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8FD8B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BFAE2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E5480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5D3EE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5E6F4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983E0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1157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61E22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88476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9397F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B595E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468A5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72DF4A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BEDA1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C7C37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4AE51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F42D6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96750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8025F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068E6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85535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8019D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95F6E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6171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3997F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C6F33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1E45E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23D04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7D666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C4B5A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7F637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D341A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C5355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720DEB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05DFCB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7D08268">
          <w:pPr>
            <w:pStyle w:val="16"/>
            <w:tabs>
              <w:tab w:val="right" w:leader="dot" w:pos="8306"/>
            </w:tabs>
          </w:pPr>
          <w:bookmarkStart w:id="22" w:name="_GoBack"/>
          <w:bookmarkEnd w:id="2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_Toc30807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4F48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_Toc11886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2F5C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513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95EB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_Toc4208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A619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_Toc23800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77CE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数智运营部</w:t>
          </w:r>
          <w:r>
            <w:tab/>
          </w:r>
          <w:r>
            <w:fldChar w:fldCharType="begin"/>
          </w:r>
          <w:r>
            <w:instrText xml:space="preserve"> PAGEREF _Toc15900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32E4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质量管理部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2C22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_Toc12937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B6DC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_Toc18567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60A31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管理流程</w:t>
          </w:r>
          <w:r>
            <w:tab/>
          </w:r>
          <w:r>
            <w:fldChar w:fldCharType="begin"/>
          </w:r>
          <w:r>
            <w:instrText xml:space="preserve"> PAGEREF _Toc31513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7E8C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软件入库流程</w:t>
          </w:r>
          <w:r>
            <w:tab/>
          </w:r>
          <w:r>
            <w:fldChar w:fldCharType="begin"/>
          </w:r>
          <w:r>
            <w:instrText xml:space="preserve"> PAGEREF _Toc22447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300B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软件出库与发布流程</w:t>
          </w:r>
          <w:r>
            <w:tab/>
          </w:r>
          <w:r>
            <w:fldChar w:fldCharType="begin"/>
          </w:r>
          <w:r>
            <w:instrText xml:space="preserve"> PAGEREF _Toc12087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ACC05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版本控制与变更管理</w:t>
          </w:r>
          <w:r>
            <w:tab/>
          </w:r>
          <w:r>
            <w:fldChar w:fldCharType="begin"/>
          </w:r>
          <w:r>
            <w:instrText xml:space="preserve"> PAGEREF _Toc16949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8D57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安全与访问控制</w:t>
          </w:r>
          <w:r>
            <w:tab/>
          </w:r>
          <w:r>
            <w:fldChar w:fldCharType="begin"/>
          </w:r>
          <w:r>
            <w:instrText xml:space="preserve"> PAGEREF _Toc22577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C44D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访问控制策略</w:t>
          </w:r>
          <w:r>
            <w:tab/>
          </w:r>
          <w:r>
            <w:fldChar w:fldCharType="begin"/>
          </w:r>
          <w:r>
            <w:instrText xml:space="preserve"> PAGEREF _Toc5704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1135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权限角色定义</w:t>
          </w:r>
          <w:r>
            <w:tab/>
          </w:r>
          <w:r>
            <w:fldChar w:fldCharType="begin"/>
          </w:r>
          <w:r>
            <w:instrText xml:space="preserve"> PAGEREF _Toc21774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2FF2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审计与监控</w:t>
          </w:r>
          <w:r>
            <w:tab/>
          </w:r>
          <w:r>
            <w:fldChar w:fldCharType="begin"/>
          </w:r>
          <w:r>
            <w:instrText xml:space="preserve"> PAGEREF _Toc524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76AA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备份与恢复</w:t>
          </w:r>
          <w:r>
            <w:tab/>
          </w:r>
          <w:r>
            <w:fldChar w:fldCharType="begin"/>
          </w:r>
          <w:r>
            <w:instrText xml:space="preserve"> PAGEREF _Toc464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538A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审计与改进</w:t>
          </w:r>
          <w:r>
            <w:tab/>
          </w:r>
          <w:r>
            <w:fldChar w:fldCharType="begin"/>
          </w:r>
          <w:r>
            <w:instrText xml:space="preserve"> PAGEREF _Toc26172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816F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CD55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_Toc5904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148D3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473F56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D45B13D">
      <w:pPr>
        <w:pStyle w:val="28"/>
        <w:bidi w:val="0"/>
        <w:rPr>
          <w:rFonts w:hint="default"/>
          <w:lang w:val="en-US" w:eastAsia="zh-CN"/>
        </w:rPr>
      </w:pPr>
      <w:bookmarkStart w:id="2" w:name="_Toc7412"/>
      <w:r>
        <w:rPr>
          <w:rFonts w:hint="default"/>
          <w:lang w:val="en-US" w:eastAsia="zh-CN"/>
        </w:rPr>
        <w:t>目的</w:t>
      </w:r>
      <w:bookmarkEnd w:id="2"/>
    </w:p>
    <w:p w14:paraId="11906C3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为规范公司最终软件库的管理，确保生产环境中使用的软件版本统一、可靠、可追溯，防止未经授权的软件发布与变更，保障系统安全与稳定运行，特制定本制度。</w:t>
      </w:r>
    </w:p>
    <w:p w14:paraId="66C09ABC">
      <w:pPr>
        <w:pStyle w:val="28"/>
        <w:bidi w:val="0"/>
        <w:rPr>
          <w:rFonts w:hint="default"/>
          <w:lang w:val="en-US" w:eastAsia="zh-CN"/>
        </w:rPr>
      </w:pPr>
      <w:bookmarkStart w:id="3" w:name="_Toc2804"/>
      <w:r>
        <w:rPr>
          <w:rFonts w:hint="default"/>
          <w:lang w:val="en-US" w:eastAsia="zh-CN"/>
        </w:rPr>
        <w:t>适用范围</w:t>
      </w:r>
      <w:bookmarkEnd w:id="3"/>
    </w:p>
    <w:p w14:paraId="5CEE0A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本制度适用于公司所有用于生产环境的软件资产，包括但不限于：</w:t>
      </w:r>
    </w:p>
    <w:p w14:paraId="42F152E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系统软件（操作系统、数据库、中间件等）</w:t>
      </w:r>
    </w:p>
    <w:p w14:paraId="011F2E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应用软件（业务系统、工具软件等）</w:t>
      </w:r>
    </w:p>
    <w:p w14:paraId="25FDB8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脚本、配置文件及相关依赖组件</w:t>
      </w:r>
    </w:p>
    <w:p w14:paraId="7D274FC1">
      <w:pPr>
        <w:pStyle w:val="28"/>
        <w:bidi w:val="0"/>
        <w:rPr>
          <w:rFonts w:hint="default"/>
          <w:lang w:val="en-US" w:eastAsia="zh-CN"/>
        </w:rPr>
      </w:pPr>
      <w:bookmarkStart w:id="4" w:name="_Toc4208"/>
      <w:r>
        <w:rPr>
          <w:rFonts w:hint="default"/>
          <w:lang w:val="en-US" w:eastAsia="zh-CN"/>
        </w:rPr>
        <w:t>定义与术语</w:t>
      </w:r>
      <w:bookmarkEnd w:id="4"/>
    </w:p>
    <w:p w14:paraId="6E5FD72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最终软件库：存放所有经测试验证、批准可用于生产环境的软件版本的中心存储库。</w:t>
      </w:r>
    </w:p>
    <w:p w14:paraId="34A53FD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软件资产：指公司拥有或使用的各类软件程序、安装包、补丁、许可证及相关文档。</w:t>
      </w:r>
    </w:p>
    <w:p w14:paraId="1CA7C9A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发布版本：经过完整测试、评审并批准上线运行的软件版本。</w:t>
      </w:r>
    </w:p>
    <w:p w14:paraId="2398FA66">
      <w:pPr>
        <w:pStyle w:val="28"/>
        <w:bidi w:val="0"/>
        <w:rPr>
          <w:rFonts w:hint="default"/>
          <w:lang w:val="en-US" w:eastAsia="zh-CN"/>
        </w:rPr>
      </w:pPr>
      <w:bookmarkStart w:id="5" w:name="_Toc23800"/>
      <w:r>
        <w:rPr>
          <w:rFonts w:hint="default"/>
          <w:lang w:val="en-US" w:eastAsia="zh-CN"/>
        </w:rPr>
        <w:t>职责分工</w:t>
      </w:r>
      <w:bookmarkEnd w:id="5"/>
    </w:p>
    <w:p w14:paraId="3BBBC576">
      <w:pPr>
        <w:pStyle w:val="30"/>
        <w:bidi w:val="0"/>
        <w:rPr>
          <w:rFonts w:hint="default"/>
          <w:lang w:val="en-US" w:eastAsia="zh-CN"/>
        </w:rPr>
      </w:pPr>
      <w:bookmarkStart w:id="6" w:name="_Toc15900"/>
      <w:r>
        <w:rPr>
          <w:rFonts w:hint="default"/>
          <w:lang w:val="en-US" w:eastAsia="zh-CN"/>
        </w:rPr>
        <w:t>数智运营部</w:t>
      </w:r>
      <w:bookmarkEnd w:id="6"/>
    </w:p>
    <w:p w14:paraId="032570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负责最终软件库的规划、建设与日常维护；</w:t>
      </w:r>
    </w:p>
    <w:p w14:paraId="60C45D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负责软件入库审批、版本控制与发布管理；</w:t>
      </w:r>
    </w:p>
    <w:p w14:paraId="30391A1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负责制定并监督执行软件库访问控制策略与安全控制措施；</w:t>
      </w:r>
    </w:p>
    <w:p w14:paraId="601A069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定期组织软件库审计与清理。</w:t>
      </w:r>
    </w:p>
    <w:p w14:paraId="340B930C">
      <w:pPr>
        <w:pStyle w:val="30"/>
        <w:bidi w:val="0"/>
        <w:rPr>
          <w:rFonts w:hint="default"/>
          <w:lang w:val="en-US" w:eastAsia="zh-CN"/>
        </w:rPr>
      </w:pPr>
      <w:bookmarkStart w:id="7" w:name="_Toc28008"/>
      <w:r>
        <w:rPr>
          <w:rFonts w:hint="default"/>
          <w:lang w:val="en-US" w:eastAsia="zh-CN"/>
        </w:rPr>
        <w:t>质量管理部</w:t>
      </w:r>
      <w:bookmarkEnd w:id="7"/>
    </w:p>
    <w:p w14:paraId="158ABB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负责软件版本的测试验证，出具测试报告；</w:t>
      </w:r>
    </w:p>
    <w:p w14:paraId="5329F5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确认软件符合上线标准后，提交入库申请。</w:t>
      </w:r>
    </w:p>
    <w:p w14:paraId="2B859869">
      <w:pPr>
        <w:pStyle w:val="30"/>
        <w:bidi w:val="0"/>
        <w:rPr>
          <w:rFonts w:hint="default"/>
          <w:lang w:val="en-US" w:eastAsia="zh-CN"/>
        </w:rPr>
      </w:pPr>
      <w:bookmarkStart w:id="8" w:name="_Toc12937"/>
      <w:r>
        <w:rPr>
          <w:rFonts w:hint="eastAsia"/>
          <w:lang w:val="en-US" w:eastAsia="zh-CN"/>
        </w:rPr>
        <w:t>研究总院</w:t>
      </w:r>
      <w:bookmarkEnd w:id="8"/>
    </w:p>
    <w:p w14:paraId="5BFC8BD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提供符合发布标准的软件版本及相关文档；</w:t>
      </w:r>
    </w:p>
    <w:p w14:paraId="20721C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配合完成软件入库流程。</w:t>
      </w:r>
    </w:p>
    <w:p w14:paraId="3B2FA444">
      <w:pPr>
        <w:pStyle w:val="30"/>
        <w:bidi w:val="0"/>
        <w:rPr>
          <w:rFonts w:hint="default"/>
          <w:lang w:val="en-US" w:eastAsia="zh-CN"/>
        </w:rPr>
      </w:pPr>
      <w:bookmarkStart w:id="9" w:name="_Toc18567"/>
      <w:r>
        <w:rPr>
          <w:rFonts w:hint="eastAsia"/>
          <w:lang w:val="en-US" w:eastAsia="zh-CN"/>
        </w:rPr>
        <w:t>运维工程师</w:t>
      </w:r>
      <w:bookmarkEnd w:id="9"/>
    </w:p>
    <w:p w14:paraId="7933A94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具体执行软件入库、出库、版本标签管理；</w:t>
      </w:r>
    </w:p>
    <w:p w14:paraId="491A67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维护软件库目录结构与访问权限，严格执行访问控制策略；</w:t>
      </w:r>
    </w:p>
    <w:p w14:paraId="35F012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记录软件变更、使用日志及所有访问操作记录。</w:t>
      </w:r>
    </w:p>
    <w:p w14:paraId="22ECB28D">
      <w:pPr>
        <w:pStyle w:val="28"/>
        <w:bidi w:val="0"/>
        <w:rPr>
          <w:rFonts w:hint="default"/>
          <w:lang w:val="en-US" w:eastAsia="zh-CN"/>
        </w:rPr>
      </w:pPr>
      <w:bookmarkStart w:id="10" w:name="_Toc31513"/>
      <w:r>
        <w:rPr>
          <w:rFonts w:hint="default"/>
          <w:lang w:val="en-US" w:eastAsia="zh-CN"/>
        </w:rPr>
        <w:t>管理流程</w:t>
      </w:r>
      <w:bookmarkEnd w:id="10"/>
    </w:p>
    <w:p w14:paraId="2EFECDA4">
      <w:pPr>
        <w:pStyle w:val="30"/>
        <w:bidi w:val="0"/>
        <w:rPr>
          <w:rFonts w:hint="default"/>
          <w:lang w:val="en-US" w:eastAsia="zh-CN"/>
        </w:rPr>
      </w:pPr>
      <w:bookmarkStart w:id="11" w:name="_Toc22447"/>
      <w:r>
        <w:rPr>
          <w:rFonts w:hint="default"/>
          <w:lang w:val="en-US" w:eastAsia="zh-CN"/>
        </w:rPr>
        <w:t>软件入库流程</w:t>
      </w:r>
      <w:bookmarkEnd w:id="11"/>
    </w:p>
    <w:p w14:paraId="0661C7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提交申请：开发/测试部门填写《软件入库申请表》，附测试报告、版本说明及安装文档。</w:t>
      </w:r>
    </w:p>
    <w:p w14:paraId="27B38C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审批流程：经部门负责人、质量管理部、运维管理部门审批。</w:t>
      </w:r>
    </w:p>
    <w:p w14:paraId="0005044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入库操作：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核对无误后，将软件存入最终软件库，并打上版本标签。</w:t>
      </w:r>
    </w:p>
    <w:p w14:paraId="52F01DC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通知发布：入库后通知相关使用部门，更新软件目录。</w:t>
      </w:r>
    </w:p>
    <w:p w14:paraId="49834326">
      <w:pPr>
        <w:pStyle w:val="30"/>
        <w:bidi w:val="0"/>
        <w:rPr>
          <w:rFonts w:hint="default"/>
          <w:lang w:val="en-US" w:eastAsia="zh-CN"/>
        </w:rPr>
      </w:pPr>
      <w:bookmarkStart w:id="12" w:name="_Toc12087"/>
      <w:r>
        <w:rPr>
          <w:rFonts w:hint="default"/>
          <w:lang w:val="en-US" w:eastAsia="zh-CN"/>
        </w:rPr>
        <w:t>软件出库与发布流程</w:t>
      </w:r>
      <w:bookmarkEnd w:id="12"/>
    </w:p>
    <w:p w14:paraId="0425397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出库申请：使用部门提出软件出库申请，说明用途与环境。</w:t>
      </w:r>
    </w:p>
    <w:p w14:paraId="24492C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审批与授权：经运维管理部门审批后，由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执行出库操作。</w:t>
      </w:r>
    </w:p>
    <w:p w14:paraId="4329F56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发布记录：记录发布版本、时间、目标环境及负责人。</w:t>
      </w:r>
    </w:p>
    <w:p w14:paraId="236B6FF6">
      <w:pPr>
        <w:pStyle w:val="30"/>
        <w:bidi w:val="0"/>
        <w:rPr>
          <w:rFonts w:hint="default"/>
          <w:lang w:val="en-US" w:eastAsia="zh-CN"/>
        </w:rPr>
      </w:pPr>
      <w:bookmarkStart w:id="13" w:name="_Toc16949"/>
      <w:r>
        <w:rPr>
          <w:rFonts w:hint="default"/>
          <w:lang w:val="en-US" w:eastAsia="zh-CN"/>
        </w:rPr>
        <w:t>版本控制与变更管理</w:t>
      </w:r>
      <w:bookmarkEnd w:id="13"/>
    </w:p>
    <w:p w14:paraId="4F7A323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所有软件版本均需具有唯一标识，禁止覆盖更新；</w:t>
      </w:r>
    </w:p>
    <w:p w14:paraId="174681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软件变更（含补丁、升级）需重新走入库流程；</w:t>
      </w:r>
    </w:p>
    <w:p w14:paraId="3ED800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历史版本应保留可追溯，重要版本永久存档。</w:t>
      </w:r>
    </w:p>
    <w:p w14:paraId="698B1CD6">
      <w:pPr>
        <w:pStyle w:val="28"/>
        <w:bidi w:val="0"/>
        <w:rPr>
          <w:rFonts w:hint="default"/>
          <w:lang w:val="en-US" w:eastAsia="zh-CN"/>
        </w:rPr>
      </w:pPr>
      <w:bookmarkStart w:id="14" w:name="_Toc22577"/>
      <w:r>
        <w:rPr>
          <w:rFonts w:hint="default"/>
          <w:lang w:val="en-US" w:eastAsia="zh-CN"/>
        </w:rPr>
        <w:t>安全与访问控制</w:t>
      </w:r>
      <w:bookmarkEnd w:id="14"/>
    </w:p>
    <w:p w14:paraId="0DB5E561">
      <w:pPr>
        <w:pStyle w:val="30"/>
        <w:bidi w:val="0"/>
        <w:rPr>
          <w:rFonts w:hint="default"/>
          <w:lang w:val="en-US" w:eastAsia="zh-CN"/>
        </w:rPr>
      </w:pPr>
      <w:bookmarkStart w:id="15" w:name="_Toc5704"/>
      <w:r>
        <w:rPr>
          <w:rFonts w:hint="default"/>
          <w:lang w:val="en-US" w:eastAsia="zh-CN"/>
        </w:rPr>
        <w:t>访问控制策略</w:t>
      </w:r>
      <w:bookmarkEnd w:id="15"/>
    </w:p>
    <w:p w14:paraId="220586B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权限分级：根据角色设置“只读”、“提交”、“审批”、“管理”等不同权限级别。</w:t>
      </w:r>
    </w:p>
    <w:p w14:paraId="6FAAB16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最小权限原则：用户仅被授予完成本职工作所必需的最小权限。</w:t>
      </w:r>
    </w:p>
    <w:p w14:paraId="4D196D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审批授权：所有权限的申请、变更和撤销均需通过书面或电子流程审批。</w:t>
      </w:r>
    </w:p>
    <w:p w14:paraId="50920F7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账号与认证：禁止使用共享账号，必须使用个人实名账号访问，并启用强认证机制。</w:t>
      </w:r>
    </w:p>
    <w:p w14:paraId="00BCC928">
      <w:pPr>
        <w:pStyle w:val="30"/>
        <w:bidi w:val="0"/>
        <w:rPr>
          <w:rFonts w:hint="default"/>
          <w:lang w:val="en-US" w:eastAsia="zh-CN"/>
        </w:rPr>
      </w:pPr>
      <w:bookmarkStart w:id="16" w:name="_Toc21774"/>
      <w:r>
        <w:rPr>
          <w:rFonts w:hint="default"/>
          <w:lang w:val="en-US" w:eastAsia="zh-CN"/>
        </w:rPr>
        <w:t>权限角色定义</w:t>
      </w:r>
      <w:bookmarkEnd w:id="16"/>
    </w:p>
    <w:p w14:paraId="3A38A1F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：拥有所有权限，负责用户权限的配置与管理。</w:t>
      </w:r>
    </w:p>
    <w:p w14:paraId="4032EF0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开发人员：拥有指定项目或目录的软件提交和读取权限。</w:t>
      </w:r>
    </w:p>
    <w:p w14:paraId="3B9D716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测试人员：拥有软件读取权限，用于验证测试。</w:t>
      </w:r>
    </w:p>
    <w:p w14:paraId="11890F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运维人员：拥有软件出库（发布）权限及生产环境对应软件的读取权限。</w:t>
      </w:r>
    </w:p>
    <w:p w14:paraId="38CCFC6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其他人员：默认仅拥有经审批后的只读权限。</w:t>
      </w:r>
    </w:p>
    <w:p w14:paraId="4AB13768">
      <w:pPr>
        <w:pStyle w:val="30"/>
        <w:bidi w:val="0"/>
        <w:rPr>
          <w:rFonts w:hint="default"/>
          <w:lang w:val="en-US" w:eastAsia="zh-CN"/>
        </w:rPr>
      </w:pPr>
      <w:bookmarkStart w:id="17" w:name="_Toc524"/>
      <w:r>
        <w:rPr>
          <w:rFonts w:hint="default"/>
          <w:lang w:val="en-US" w:eastAsia="zh-CN"/>
        </w:rPr>
        <w:t>审计与监控</w:t>
      </w:r>
      <w:bookmarkEnd w:id="17"/>
    </w:p>
    <w:p w14:paraId="51987E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所有对最终软件库的访问、上传、下载、删除等操作均须记录完整日志。</w:t>
      </w:r>
    </w:p>
    <w:p w14:paraId="5D46B42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应定期（每月）审查访问日志，发现并处理异常操作。</w:t>
      </w:r>
    </w:p>
    <w:p w14:paraId="5101725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数智运营部应每季度对权限设置进行一次合规性评审。</w:t>
      </w:r>
    </w:p>
    <w:p w14:paraId="4F2BD9E4">
      <w:pPr>
        <w:pStyle w:val="28"/>
        <w:bidi w:val="0"/>
        <w:rPr>
          <w:rFonts w:hint="default"/>
          <w:lang w:val="en-US" w:eastAsia="zh-CN"/>
        </w:rPr>
      </w:pPr>
      <w:bookmarkStart w:id="18" w:name="_Toc464"/>
      <w:r>
        <w:rPr>
          <w:rFonts w:hint="default"/>
          <w:lang w:val="en-US" w:eastAsia="zh-CN"/>
        </w:rPr>
        <w:t>备份与恢复</w:t>
      </w:r>
      <w:bookmarkEnd w:id="18"/>
    </w:p>
    <w:p w14:paraId="5061C6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最终软件库每月进行一次全量备份，每周进行一次增量备份，备份数据应异地安全保存。</w:t>
      </w:r>
    </w:p>
    <w:p w14:paraId="35CC0A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每半年至少进行一次备份恢复演练，确保备份有效性。</w:t>
      </w:r>
    </w:p>
    <w:p w14:paraId="3E05211C">
      <w:pPr>
        <w:pStyle w:val="28"/>
        <w:bidi w:val="0"/>
        <w:rPr>
          <w:rFonts w:hint="default"/>
          <w:lang w:val="en-US" w:eastAsia="zh-CN"/>
        </w:rPr>
      </w:pPr>
      <w:bookmarkStart w:id="19" w:name="_Toc26172"/>
      <w:r>
        <w:rPr>
          <w:rFonts w:hint="default"/>
          <w:lang w:val="en-US" w:eastAsia="zh-CN"/>
        </w:rPr>
        <w:t>审计与改进</w:t>
      </w:r>
      <w:bookmarkEnd w:id="19"/>
    </w:p>
    <w:p w14:paraId="33315D7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每半年对软件库进行一次全面的合规性与安全性审计。</w:t>
      </w:r>
    </w:p>
    <w:p w14:paraId="421EB5C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根据审计结果和用户反馈，持续优化访问控制策略与管理流程。</w:t>
      </w:r>
    </w:p>
    <w:p w14:paraId="59469C17">
      <w:pPr>
        <w:pStyle w:val="28"/>
        <w:bidi w:val="0"/>
        <w:rPr>
          <w:rFonts w:hint="default"/>
          <w:lang w:val="en-US" w:eastAsia="zh-CN"/>
        </w:rPr>
      </w:pPr>
      <w:bookmarkStart w:id="20" w:name="_Toc26111"/>
      <w:r>
        <w:rPr>
          <w:rFonts w:hint="eastAsia"/>
          <w:lang w:val="en-US" w:eastAsia="zh-CN"/>
        </w:rPr>
        <w:t>考核指标</w:t>
      </w:r>
      <w:bookmarkEnd w:id="20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1056"/>
        <w:gridCol w:w="4139"/>
        <w:gridCol w:w="926"/>
      </w:tblGrid>
      <w:tr w14:paraId="3DC39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7811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8F7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49D1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92B8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1CC54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75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软件合规性审计次数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B80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1次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074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数量，软件库审计报告数量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785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</w:tr>
    </w:tbl>
    <w:p w14:paraId="5951B9DA">
      <w:pPr>
        <w:pStyle w:val="28"/>
        <w:bidi w:val="0"/>
        <w:rPr>
          <w:rFonts w:hint="default"/>
          <w:lang w:val="en-US" w:eastAsia="zh-CN"/>
        </w:rPr>
      </w:pPr>
      <w:bookmarkStart w:id="21" w:name="_Toc5904"/>
      <w:r>
        <w:rPr>
          <w:rFonts w:hint="default"/>
          <w:lang w:val="en-US" w:eastAsia="zh-CN"/>
        </w:rPr>
        <w:t>附则</w:t>
      </w:r>
      <w:bookmarkEnd w:id="21"/>
    </w:p>
    <w:p w14:paraId="6C68960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本制度自发布之日起执行，由数智运营部负责解释与修订。</w:t>
      </w:r>
    </w:p>
    <w:p w14:paraId="29468357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9E59C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A83A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6B4A79"/>
    <w:rsid w:val="69E7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1615</Words>
  <Characters>1710</Characters>
  <Lines>0</Lines>
  <Paragraphs>0</Paragraphs>
  <TotalTime>0</TotalTime>
  <ScaleCrop>false</ScaleCrop>
  <LinksUpToDate>false</LinksUpToDate>
  <CharactersWithSpaces>1792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