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945E3">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402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4D6BC54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3504"/>
      <w:r>
        <w:rPr>
          <w:rFonts w:hint="eastAsia"/>
          <w:lang w:val="en-US" w:eastAsia="zh-CN"/>
        </w:rPr>
        <w:t>运维服务工具自评估报告</w:t>
      </w:r>
      <w:bookmarkEnd w:id="1"/>
    </w:p>
    <w:p w14:paraId="4F5BFAF1">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5616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D3C1A0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0279EF1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2025.11.20</w:t>
            </w:r>
          </w:p>
        </w:tc>
      </w:tr>
      <w:tr w14:paraId="1CD41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999694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F347E15">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2025.11.20</w:t>
            </w:r>
          </w:p>
        </w:tc>
      </w:tr>
      <w:tr w14:paraId="34015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83874D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2885328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2025.11.20</w:t>
            </w:r>
          </w:p>
        </w:tc>
      </w:tr>
    </w:tbl>
    <w:p w14:paraId="1C3D5AE6">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7BAD518E">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0B2F07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B43DCCE">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650B66B8">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080E926">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086C6BA">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73FB2F1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2053B52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19872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6B9B886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72" w:type="dxa"/>
          </w:tcPr>
          <w:p w14:paraId="0335FF55">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05019CFD">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4F37E5A0">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77B17840">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094CF92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7D1E96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7E1D0A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A35A24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654C34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BB140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173E58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7D2DEF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8439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5F6B45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74DD00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92C14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85C6A8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4D204CB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82D64F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0248A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151C7B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115FD3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761F24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8EF7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BD28A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E5B6C1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AE92414">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683FE92">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F19EC5B">
          <w:pPr>
            <w:pStyle w:val="16"/>
            <w:tabs>
              <w:tab w:val="right" w:leader="dot" w:pos="8306"/>
            </w:tabs>
          </w:pPr>
          <w:bookmarkStart w:id="5" w:name="_GoBack"/>
          <w:bookmarkEnd w:id="5"/>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_Toc24026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_Toc24026 \h </w:instrText>
          </w:r>
          <w:r>
            <w:fldChar w:fldCharType="separate"/>
          </w:r>
          <w:r>
            <w:t>1</w:t>
          </w:r>
          <w:r>
            <w:fldChar w:fldCharType="end"/>
          </w:r>
          <w:r>
            <w:rPr>
              <w:rFonts w:hint="eastAsia" w:ascii="宋体" w:hAnsi="宋体" w:eastAsia="宋体" w:cs="宋体"/>
              <w:szCs w:val="24"/>
            </w:rPr>
            <w:fldChar w:fldCharType="end"/>
          </w:r>
        </w:p>
        <w:p w14:paraId="72481A0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_Toc3504 </w:instrText>
          </w:r>
          <w:r>
            <w:rPr>
              <w:rFonts w:hint="eastAsia" w:ascii="宋体" w:hAnsi="宋体" w:eastAsia="宋体" w:cs="宋体"/>
              <w:szCs w:val="24"/>
            </w:rPr>
            <w:fldChar w:fldCharType="separate"/>
          </w:r>
          <w:r>
            <w:rPr>
              <w:rFonts w:hint="eastAsia"/>
              <w:lang w:val="en-US" w:eastAsia="zh-CN"/>
            </w:rPr>
            <w:t>运维服务工具自评估报告</w:t>
          </w:r>
          <w:r>
            <w:tab/>
          </w:r>
          <w:r>
            <w:fldChar w:fldCharType="begin"/>
          </w:r>
          <w:r>
            <w:instrText xml:space="preserve"> PAGEREF _Toc3504 \h </w:instrText>
          </w:r>
          <w:r>
            <w:fldChar w:fldCharType="separate"/>
          </w:r>
          <w:r>
            <w:t>1</w:t>
          </w:r>
          <w:r>
            <w:fldChar w:fldCharType="end"/>
          </w:r>
          <w:r>
            <w:rPr>
              <w:rFonts w:hint="eastAsia" w:ascii="宋体" w:hAnsi="宋体" w:eastAsia="宋体" w:cs="宋体"/>
              <w:szCs w:val="24"/>
            </w:rPr>
            <w:fldChar w:fldCharType="end"/>
          </w:r>
        </w:p>
        <w:p w14:paraId="73D63EE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_Toc10595 </w:instrText>
          </w:r>
          <w:r>
            <w:rPr>
              <w:rFonts w:hint="eastAsia" w:ascii="宋体" w:hAnsi="宋体" w:eastAsia="宋体" w:cs="宋体"/>
              <w:szCs w:val="24"/>
            </w:rPr>
            <w:fldChar w:fldCharType="separate"/>
          </w:r>
          <w:r>
            <w:rPr>
              <w:rFonts w:hint="default" w:ascii="宋体" w:hAnsi="宋体" w:eastAsia="宋体" w:cs="宋体"/>
              <w:szCs w:val="24"/>
            </w:rPr>
            <w:t xml:space="preserve">1. </w:t>
          </w:r>
          <w:r>
            <w:rPr>
              <w:rFonts w:hint="eastAsia" w:ascii="宋体" w:hAnsi="宋体" w:eastAsia="宋体" w:cs="宋体"/>
              <w:szCs w:val="24"/>
            </w:rPr>
            <w:t>过程管理工具</w:t>
          </w:r>
          <w:r>
            <w:tab/>
          </w:r>
          <w:r>
            <w:fldChar w:fldCharType="begin"/>
          </w:r>
          <w:r>
            <w:instrText xml:space="preserve"> PAGEREF _Toc10595 \h </w:instrText>
          </w:r>
          <w:r>
            <w:fldChar w:fldCharType="separate"/>
          </w:r>
          <w:r>
            <w:t>4</w:t>
          </w:r>
          <w:r>
            <w:fldChar w:fldCharType="end"/>
          </w:r>
          <w:r>
            <w:rPr>
              <w:rFonts w:hint="eastAsia" w:ascii="宋体" w:hAnsi="宋体" w:eastAsia="宋体" w:cs="宋体"/>
              <w:szCs w:val="24"/>
            </w:rPr>
            <w:fldChar w:fldCharType="end"/>
          </w:r>
        </w:p>
        <w:p w14:paraId="3D3D4BD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_Toc6744 </w:instrText>
          </w:r>
          <w:r>
            <w:rPr>
              <w:rFonts w:hint="eastAsia" w:ascii="宋体" w:hAnsi="宋体" w:eastAsia="宋体" w:cs="宋体"/>
              <w:szCs w:val="24"/>
            </w:rPr>
            <w:fldChar w:fldCharType="separate"/>
          </w:r>
          <w:r>
            <w:rPr>
              <w:rFonts w:hint="default" w:ascii="宋体" w:hAnsi="宋体" w:eastAsia="宋体" w:cs="宋体"/>
              <w:szCs w:val="24"/>
            </w:rPr>
            <w:t xml:space="preserve">2. </w:t>
          </w:r>
          <w:r>
            <w:rPr>
              <w:rFonts w:hint="eastAsia" w:ascii="宋体" w:hAnsi="宋体" w:eastAsia="宋体" w:cs="宋体"/>
              <w:szCs w:val="24"/>
            </w:rPr>
            <w:t>监控工具</w:t>
          </w:r>
          <w:r>
            <w:tab/>
          </w:r>
          <w:r>
            <w:fldChar w:fldCharType="begin"/>
          </w:r>
          <w:r>
            <w:instrText xml:space="preserve"> PAGEREF _Toc6744 \h </w:instrText>
          </w:r>
          <w:r>
            <w:fldChar w:fldCharType="separate"/>
          </w:r>
          <w:r>
            <w:t>4</w:t>
          </w:r>
          <w:r>
            <w:fldChar w:fldCharType="end"/>
          </w:r>
          <w:r>
            <w:rPr>
              <w:rFonts w:hint="eastAsia" w:ascii="宋体" w:hAnsi="宋体" w:eastAsia="宋体" w:cs="宋体"/>
              <w:szCs w:val="24"/>
            </w:rPr>
            <w:fldChar w:fldCharType="end"/>
          </w:r>
        </w:p>
        <w:p w14:paraId="7903C11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_Toc27196 </w:instrText>
          </w:r>
          <w:r>
            <w:rPr>
              <w:rFonts w:hint="eastAsia" w:ascii="宋体" w:hAnsi="宋体" w:eastAsia="宋体" w:cs="宋体"/>
              <w:szCs w:val="24"/>
            </w:rPr>
            <w:fldChar w:fldCharType="separate"/>
          </w:r>
          <w:r>
            <w:rPr>
              <w:rFonts w:hint="default" w:ascii="宋体" w:hAnsi="宋体" w:eastAsia="宋体" w:cs="宋体"/>
              <w:szCs w:val="24"/>
            </w:rPr>
            <w:t xml:space="preserve">3. </w:t>
          </w:r>
          <w:r>
            <w:rPr>
              <w:rFonts w:hint="eastAsia" w:ascii="宋体" w:hAnsi="宋体" w:eastAsia="宋体" w:cs="宋体"/>
              <w:szCs w:val="24"/>
              <w:lang w:val="en-US" w:eastAsia="zh-CN"/>
            </w:rPr>
            <w:t>服务知识</w:t>
          </w:r>
          <w:r>
            <w:tab/>
          </w:r>
          <w:r>
            <w:fldChar w:fldCharType="begin"/>
          </w:r>
          <w:r>
            <w:instrText xml:space="preserve"> PAGEREF _Toc27196 \h </w:instrText>
          </w:r>
          <w:r>
            <w:fldChar w:fldCharType="separate"/>
          </w:r>
          <w:r>
            <w:t>4</w:t>
          </w:r>
          <w:r>
            <w:fldChar w:fldCharType="end"/>
          </w:r>
          <w:r>
            <w:rPr>
              <w:rFonts w:hint="eastAsia" w:ascii="宋体" w:hAnsi="宋体" w:eastAsia="宋体" w:cs="宋体"/>
              <w:szCs w:val="24"/>
            </w:rPr>
            <w:fldChar w:fldCharType="end"/>
          </w:r>
        </w:p>
        <w:p w14:paraId="6C12EC86">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0228A5F">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pgSz w:w="11906" w:h="16838"/>
          <w:pgMar w:top="1417" w:right="1800" w:bottom="1440" w:left="1800" w:header="1140" w:footer="992" w:gutter="0"/>
          <w:cols w:space="425" w:num="1"/>
          <w:docGrid w:type="lines" w:linePitch="312" w:charSpace="0"/>
        </w:sectPr>
      </w:pPr>
      <w:r>
        <w:rPr>
          <w:rFonts w:ascii="Arial" w:hAnsi="Arial" w:eastAsia="Arial" w:cs="Arial"/>
          <w:snapToGrid w:val="0"/>
          <w:color w:val="000000"/>
          <w:kern w:val="0"/>
          <w:sz w:val="21"/>
          <w:szCs w:val="21"/>
          <w:lang w:val="en-US" w:eastAsia="en-US" w:bidi="ar-SA"/>
        </w:rPr>
        <w:br w:type="page"/>
      </w:r>
    </w:p>
    <w:tbl>
      <w:tblPr>
        <w:tblStyle w:val="26"/>
        <w:tblW w:w="1419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461"/>
        <w:gridCol w:w="1040"/>
        <w:gridCol w:w="4301"/>
        <w:gridCol w:w="1154"/>
        <w:gridCol w:w="966"/>
        <w:gridCol w:w="4211"/>
        <w:gridCol w:w="1064"/>
      </w:tblGrid>
      <w:tr w14:paraId="3456F6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blHeader/>
          <w:jc w:val="center"/>
        </w:trPr>
        <w:tc>
          <w:tcPr>
            <w:tcW w:w="1461" w:type="dxa"/>
            <w:tcBorders>
              <w:top w:val="single" w:color="auto" w:sz="4" w:space="0"/>
              <w:left w:val="single" w:color="auto" w:sz="4" w:space="0"/>
              <w:bottom w:val="single" w:color="auto" w:sz="4" w:space="0"/>
              <w:right w:val="single" w:color="auto" w:sz="4" w:space="0"/>
            </w:tcBorders>
            <w:shd w:val="clear" w:color="auto" w:fill="E5E5E5"/>
            <w:vAlign w:val="center"/>
          </w:tcPr>
          <w:p w14:paraId="42ACBA76">
            <w:pPr>
              <w:snapToGrid w:val="0"/>
              <w:spacing w:before="21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6"/>
                <w:sz w:val="20"/>
                <w:szCs w:val="20"/>
              </w:rPr>
              <w:t>运维工具分</w:t>
            </w:r>
            <w:r>
              <w:rPr>
                <w:rFonts w:ascii="宋体" w:hAnsi="宋体" w:eastAsia="宋体" w:cs="宋体"/>
                <w:b/>
                <w:bCs/>
                <w:spacing w:val="-2"/>
                <w:sz w:val="20"/>
                <w:szCs w:val="20"/>
              </w:rPr>
              <w:t>类</w:t>
            </w:r>
          </w:p>
        </w:tc>
        <w:tc>
          <w:tcPr>
            <w:tcW w:w="1040" w:type="dxa"/>
            <w:tcBorders>
              <w:top w:val="single" w:color="auto" w:sz="4" w:space="0"/>
              <w:left w:val="single" w:color="auto" w:sz="4" w:space="0"/>
              <w:bottom w:val="single" w:color="auto" w:sz="4" w:space="0"/>
              <w:right w:val="single" w:color="auto" w:sz="4" w:space="0"/>
            </w:tcBorders>
            <w:shd w:val="clear" w:color="auto" w:fill="E5E5E5"/>
            <w:vAlign w:val="center"/>
          </w:tcPr>
          <w:p w14:paraId="30F7095A">
            <w:pPr>
              <w:snapToGrid w:val="0"/>
              <w:spacing w:before="6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5"/>
                <w:sz w:val="20"/>
                <w:szCs w:val="20"/>
              </w:rPr>
              <w:t>工具名称</w:t>
            </w:r>
          </w:p>
        </w:tc>
        <w:tc>
          <w:tcPr>
            <w:tcW w:w="4301" w:type="dxa"/>
            <w:tcBorders>
              <w:top w:val="single" w:color="auto" w:sz="4" w:space="0"/>
              <w:left w:val="single" w:color="auto" w:sz="4" w:space="0"/>
              <w:bottom w:val="single" w:color="auto" w:sz="4" w:space="0"/>
              <w:right w:val="single" w:color="auto" w:sz="4" w:space="0"/>
            </w:tcBorders>
            <w:shd w:val="clear" w:color="auto" w:fill="E5E5E5"/>
            <w:vAlign w:val="center"/>
          </w:tcPr>
          <w:p w14:paraId="460FDCA7">
            <w:pPr>
              <w:snapToGrid w:val="0"/>
              <w:spacing w:before="214"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6"/>
                <w:sz w:val="20"/>
                <w:szCs w:val="20"/>
              </w:rPr>
              <w:t>主要功能</w:t>
            </w:r>
            <w:r>
              <w:rPr>
                <w:rFonts w:ascii="宋体" w:hAnsi="宋体" w:eastAsia="宋体" w:cs="宋体"/>
                <w:b/>
                <w:bCs/>
                <w:spacing w:val="4"/>
                <w:sz w:val="20"/>
                <w:szCs w:val="20"/>
              </w:rPr>
              <w:t>（关键功能说明）</w:t>
            </w:r>
          </w:p>
        </w:tc>
        <w:tc>
          <w:tcPr>
            <w:tcW w:w="1154" w:type="dxa"/>
            <w:tcBorders>
              <w:top w:val="single" w:color="auto" w:sz="4" w:space="0"/>
              <w:left w:val="single" w:color="auto" w:sz="4" w:space="0"/>
              <w:bottom w:val="single" w:color="auto" w:sz="4" w:space="0"/>
              <w:right w:val="single" w:color="auto" w:sz="4" w:space="0"/>
            </w:tcBorders>
            <w:shd w:val="clear" w:color="auto" w:fill="E5E5E5"/>
            <w:vAlign w:val="center"/>
          </w:tcPr>
          <w:p w14:paraId="795198BA">
            <w:pPr>
              <w:snapToGrid w:val="0"/>
              <w:spacing w:before="214" w:line="240" w:lineRule="auto"/>
              <w:ind w:left="0" w:leftChars="0" w:right="0" w:rightChars="0" w:firstLine="0" w:firstLineChars="0"/>
              <w:jc w:val="center"/>
              <w:rPr>
                <w:rFonts w:ascii="宋体" w:hAnsi="宋体" w:eastAsia="宋体" w:cs="宋体"/>
                <w:b/>
                <w:bCs/>
                <w:spacing w:val="6"/>
                <w:sz w:val="20"/>
                <w:szCs w:val="20"/>
              </w:rPr>
            </w:pPr>
            <w:r>
              <w:rPr>
                <w:rFonts w:ascii="宋体" w:hAnsi="宋体" w:eastAsia="宋体" w:cs="宋体"/>
                <w:b/>
                <w:bCs/>
                <w:spacing w:val="6"/>
                <w:sz w:val="20"/>
                <w:szCs w:val="20"/>
              </w:rPr>
              <w:t>使用情况说明</w:t>
            </w:r>
          </w:p>
          <w:p w14:paraId="1DB599DC">
            <w:pPr>
              <w:snapToGrid w:val="0"/>
              <w:spacing w:before="214"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6"/>
                <w:sz w:val="20"/>
                <w:szCs w:val="20"/>
              </w:rPr>
              <w:t>（工具使用的客户及项目）</w:t>
            </w:r>
          </w:p>
        </w:tc>
        <w:tc>
          <w:tcPr>
            <w:tcW w:w="966" w:type="dxa"/>
            <w:tcBorders>
              <w:top w:val="single" w:color="auto" w:sz="4" w:space="0"/>
              <w:left w:val="single" w:color="auto" w:sz="4" w:space="0"/>
              <w:bottom w:val="single" w:color="auto" w:sz="4" w:space="0"/>
              <w:right w:val="single" w:color="auto" w:sz="4" w:space="0"/>
            </w:tcBorders>
            <w:shd w:val="clear" w:color="auto" w:fill="E5E5E5"/>
            <w:vAlign w:val="center"/>
          </w:tcPr>
          <w:p w14:paraId="77F0C17D">
            <w:pPr>
              <w:snapToGrid w:val="0"/>
              <w:spacing w:before="58"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5"/>
                <w:sz w:val="20"/>
                <w:szCs w:val="20"/>
              </w:rPr>
              <w:t>工具来源</w:t>
            </w:r>
            <w:r>
              <w:rPr>
                <w:rFonts w:ascii="宋体" w:hAnsi="宋体" w:eastAsia="宋体" w:cs="宋体"/>
                <w:b/>
                <w:bCs/>
                <w:spacing w:val="-1"/>
                <w:sz w:val="20"/>
                <w:szCs w:val="20"/>
              </w:rPr>
              <w:t>（开源工具、自主</w:t>
            </w:r>
            <w:r>
              <w:rPr>
                <w:rFonts w:ascii="宋体" w:hAnsi="宋体" w:eastAsia="宋体" w:cs="宋体"/>
                <w:b/>
                <w:bCs/>
                <w:spacing w:val="3"/>
                <w:sz w:val="20"/>
                <w:szCs w:val="20"/>
              </w:rPr>
              <w:t>研发、外购的说明）</w:t>
            </w:r>
          </w:p>
        </w:tc>
        <w:tc>
          <w:tcPr>
            <w:tcW w:w="4211" w:type="dxa"/>
            <w:tcBorders>
              <w:top w:val="single" w:color="auto" w:sz="4" w:space="0"/>
              <w:left w:val="single" w:color="auto" w:sz="4" w:space="0"/>
              <w:bottom w:val="single" w:color="auto" w:sz="4" w:space="0"/>
              <w:right w:val="single" w:color="auto" w:sz="4" w:space="0"/>
            </w:tcBorders>
            <w:shd w:val="clear" w:color="auto" w:fill="E5E5E5"/>
            <w:vAlign w:val="center"/>
          </w:tcPr>
          <w:p w14:paraId="2DC76E65">
            <w:pPr>
              <w:snapToGrid w:val="0"/>
              <w:spacing w:before="6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7"/>
                <w:sz w:val="20"/>
                <w:szCs w:val="20"/>
              </w:rPr>
              <w:t>使用效果评估意见</w:t>
            </w:r>
          </w:p>
        </w:tc>
        <w:tc>
          <w:tcPr>
            <w:tcW w:w="1064" w:type="dxa"/>
            <w:tcBorders>
              <w:top w:val="single" w:color="auto" w:sz="4" w:space="0"/>
              <w:left w:val="single" w:color="auto" w:sz="4" w:space="0"/>
              <w:bottom w:val="single" w:color="auto" w:sz="4" w:space="0"/>
              <w:right w:val="single" w:color="auto" w:sz="4" w:space="0"/>
            </w:tcBorders>
            <w:shd w:val="clear" w:color="auto" w:fill="E5E5E5"/>
            <w:vAlign w:val="center"/>
          </w:tcPr>
          <w:p w14:paraId="1FD4D284">
            <w:pPr>
              <w:snapToGrid w:val="0"/>
              <w:spacing w:before="21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4"/>
                <w:sz w:val="20"/>
                <w:szCs w:val="20"/>
              </w:rPr>
              <w:t>评价人/</w:t>
            </w:r>
            <w:r>
              <w:rPr>
                <w:rFonts w:ascii="宋体" w:hAnsi="宋体" w:eastAsia="宋体" w:cs="宋体"/>
                <w:b/>
                <w:bCs/>
                <w:spacing w:val="-1"/>
                <w:sz w:val="20"/>
                <w:szCs w:val="20"/>
              </w:rPr>
              <w:t>时间</w:t>
            </w:r>
          </w:p>
        </w:tc>
      </w:tr>
      <w:tr w14:paraId="62112D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461" w:type="dxa"/>
            <w:tcBorders>
              <w:top w:val="single" w:color="auto" w:sz="4" w:space="0"/>
              <w:left w:val="single" w:color="auto" w:sz="4" w:space="0"/>
              <w:bottom w:val="single" w:color="auto" w:sz="4" w:space="0"/>
              <w:right w:val="single" w:color="auto" w:sz="4" w:space="0"/>
            </w:tcBorders>
            <w:vAlign w:val="center"/>
          </w:tcPr>
          <w:p w14:paraId="580B1AAD">
            <w:pPr>
              <w:pStyle w:val="2"/>
              <w:bidi w:val="0"/>
              <w:snapToGrid w:val="0"/>
              <w:spacing w:line="240" w:lineRule="auto"/>
              <w:ind w:left="0" w:leftChars="0" w:right="0" w:rightChars="0" w:firstLine="0" w:firstLineChars="0"/>
              <w:jc w:val="left"/>
              <w:rPr>
                <w:rFonts w:ascii="宋体" w:hAnsi="宋体" w:eastAsia="宋体" w:cs="宋体"/>
                <w:sz w:val="21"/>
                <w:szCs w:val="24"/>
              </w:rPr>
            </w:pPr>
            <w:bookmarkStart w:id="2" w:name="_Toc10595"/>
            <w:r>
              <w:rPr>
                <w:rFonts w:hint="eastAsia" w:ascii="宋体" w:hAnsi="宋体" w:eastAsia="宋体" w:cs="宋体"/>
                <w:sz w:val="21"/>
                <w:szCs w:val="24"/>
              </w:rPr>
              <w:t>过程管理工具</w:t>
            </w:r>
            <w:bookmarkEnd w:id="2"/>
          </w:p>
        </w:tc>
        <w:tc>
          <w:tcPr>
            <w:tcW w:w="1040" w:type="dxa"/>
            <w:tcBorders>
              <w:top w:val="single" w:color="auto" w:sz="4" w:space="0"/>
              <w:left w:val="single" w:color="auto" w:sz="4" w:space="0"/>
              <w:bottom w:val="single" w:color="auto" w:sz="4" w:space="0"/>
              <w:right w:val="single" w:color="auto" w:sz="4" w:space="0"/>
            </w:tcBorders>
            <w:vAlign w:val="center"/>
          </w:tcPr>
          <w:p w14:paraId="0F12F6BA">
            <w:pPr>
              <w:snapToGrid w:val="0"/>
              <w:spacing w:before="12"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通服信息化服务平台</w:t>
            </w:r>
          </w:p>
        </w:tc>
        <w:tc>
          <w:tcPr>
            <w:tcW w:w="4301" w:type="dxa"/>
            <w:tcBorders>
              <w:top w:val="single" w:color="auto" w:sz="4" w:space="0"/>
              <w:left w:val="single" w:color="auto" w:sz="4" w:space="0"/>
              <w:bottom w:val="single" w:color="auto" w:sz="4" w:space="0"/>
              <w:right w:val="single" w:color="auto" w:sz="4" w:space="0"/>
            </w:tcBorders>
            <w:vAlign w:val="center"/>
          </w:tcPr>
          <w:p w14:paraId="3C0BF6F5">
            <w:pPr>
              <w:snapToGrid w:val="0"/>
              <w:spacing w:before="12"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集成了工单全生命周期管理、统一服务门户、多系统协同处理与全景数据报表分析四大核心能力。平台构建了从“申告-受理-处理-办结-评价”的完整闭环流程，并融合了公告发布、模板库管理与服务满意度监测等模块，旨在为企业内部用户与运维团队提供标准化、透明化、高效化的统一服务入口与运营支撑。</w:t>
            </w:r>
          </w:p>
        </w:tc>
        <w:tc>
          <w:tcPr>
            <w:tcW w:w="1154" w:type="dxa"/>
            <w:tcBorders>
              <w:top w:val="single" w:color="auto" w:sz="4" w:space="0"/>
              <w:left w:val="single" w:color="auto" w:sz="4" w:space="0"/>
              <w:bottom w:val="single" w:color="auto" w:sz="4" w:space="0"/>
              <w:right w:val="single" w:color="auto" w:sz="4" w:space="0"/>
            </w:tcBorders>
            <w:vAlign w:val="center"/>
          </w:tcPr>
          <w:p w14:paraId="3AEB9E3D">
            <w:pPr>
              <w:snapToGrid w:val="0"/>
              <w:spacing w:before="12" w:line="240" w:lineRule="auto"/>
              <w:ind w:left="0" w:leftChars="0" w:right="0" w:rightChars="0" w:firstLine="0" w:firstLineChars="0"/>
              <w:jc w:val="center"/>
              <w:rPr>
                <w:rFonts w:hint="eastAsia" w:ascii="宋体" w:hAnsi="宋体" w:eastAsia="宋体" w:cs="宋体"/>
                <w:sz w:val="21"/>
                <w:szCs w:val="21"/>
                <w:lang w:val="en-US" w:eastAsia="zh-CN"/>
              </w:rPr>
            </w:pPr>
            <w:r>
              <w:rPr>
                <w:rFonts w:ascii="宋体" w:hAnsi="宋体" w:eastAsia="宋体" w:cs="宋体"/>
                <w:sz w:val="21"/>
                <w:szCs w:val="24"/>
              </w:rPr>
              <w:t>翔云系统运维及知识管理体系建设项目</w:t>
            </w:r>
          </w:p>
        </w:tc>
        <w:tc>
          <w:tcPr>
            <w:tcW w:w="966" w:type="dxa"/>
            <w:tcBorders>
              <w:top w:val="single" w:color="auto" w:sz="4" w:space="0"/>
              <w:left w:val="single" w:color="auto" w:sz="4" w:space="0"/>
              <w:bottom w:val="single" w:color="auto" w:sz="4" w:space="0"/>
              <w:right w:val="single" w:color="auto" w:sz="4" w:space="0"/>
            </w:tcBorders>
            <w:vAlign w:val="center"/>
          </w:tcPr>
          <w:p w14:paraId="7E531379">
            <w:pPr>
              <w:snapToGrid w:val="0"/>
              <w:spacing w:before="78" w:line="240" w:lineRule="auto"/>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自研</w:t>
            </w:r>
          </w:p>
        </w:tc>
        <w:tc>
          <w:tcPr>
            <w:tcW w:w="4211" w:type="dxa"/>
            <w:tcBorders>
              <w:top w:val="single" w:color="auto" w:sz="4" w:space="0"/>
              <w:left w:val="single" w:color="auto" w:sz="4" w:space="0"/>
              <w:bottom w:val="single" w:color="auto" w:sz="4" w:space="0"/>
              <w:right w:val="single" w:color="auto" w:sz="4" w:space="0"/>
            </w:tcBorders>
            <w:vAlign w:val="center"/>
          </w:tcPr>
          <w:p w14:paraId="30538608">
            <w:pPr>
              <w:snapToGrid w:val="0"/>
              <w:spacing w:before="12" w:line="240" w:lineRule="auto"/>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rPr>
              <w:t>系统投入应用后，成功构建了集工单流转、跨系统协同、数据分析和合规审计于一体的智能化运营支撑平台，实现了服务流程全线上化闭环管理、运维资源高效协同与集中调度，并依托实时数据看板与满意度报表驱动运营决策持续优化，全面提升了企业跨地域、多系统运维服务的响应效率、处理质量与安全管控水平</w:t>
            </w:r>
            <w:r>
              <w:rPr>
                <w:rFonts w:hint="eastAsia" w:ascii="宋体" w:hAnsi="宋体" w:eastAsia="宋体" w:cs="宋体"/>
                <w:sz w:val="21"/>
                <w:szCs w:val="21"/>
                <w:lang w:eastAsia="zh-CN"/>
              </w:rPr>
              <w:t>。</w:t>
            </w:r>
          </w:p>
        </w:tc>
        <w:tc>
          <w:tcPr>
            <w:tcW w:w="1064" w:type="dxa"/>
            <w:tcBorders>
              <w:top w:val="single" w:color="auto" w:sz="4" w:space="0"/>
              <w:left w:val="single" w:color="auto" w:sz="4" w:space="0"/>
              <w:bottom w:val="single" w:color="auto" w:sz="4" w:space="0"/>
              <w:right w:val="single" w:color="auto" w:sz="4" w:space="0"/>
            </w:tcBorders>
            <w:vAlign w:val="center"/>
          </w:tcPr>
          <w:p w14:paraId="08DA1B79">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徐超超</w:t>
            </w:r>
          </w:p>
          <w:p w14:paraId="5F2198DA">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2025.11.20</w:t>
            </w:r>
          </w:p>
        </w:tc>
      </w:tr>
      <w:tr w14:paraId="24459D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461" w:type="dxa"/>
            <w:tcBorders>
              <w:top w:val="single" w:color="auto" w:sz="4" w:space="0"/>
              <w:left w:val="single" w:color="auto" w:sz="4" w:space="0"/>
              <w:bottom w:val="single" w:color="auto" w:sz="4" w:space="0"/>
              <w:right w:val="single" w:color="auto" w:sz="4" w:space="0"/>
            </w:tcBorders>
            <w:vAlign w:val="center"/>
          </w:tcPr>
          <w:p w14:paraId="0B6EFE10">
            <w:pPr>
              <w:pStyle w:val="2"/>
              <w:bidi w:val="0"/>
              <w:snapToGrid w:val="0"/>
              <w:spacing w:line="240" w:lineRule="auto"/>
              <w:ind w:left="0" w:leftChars="0" w:right="0" w:rightChars="0" w:firstLine="0" w:firstLineChars="0"/>
              <w:jc w:val="left"/>
              <w:rPr>
                <w:rFonts w:ascii="宋体" w:hAnsi="宋体" w:eastAsia="宋体" w:cs="宋体"/>
                <w:sz w:val="21"/>
                <w:szCs w:val="24"/>
              </w:rPr>
            </w:pPr>
            <w:bookmarkStart w:id="3" w:name="_Toc6744"/>
            <w:r>
              <w:rPr>
                <w:rFonts w:hint="eastAsia" w:ascii="宋体" w:hAnsi="宋体" w:eastAsia="宋体" w:cs="宋体"/>
                <w:sz w:val="21"/>
                <w:szCs w:val="24"/>
              </w:rPr>
              <w:t>监控工具</w:t>
            </w:r>
            <w:bookmarkEnd w:id="3"/>
          </w:p>
        </w:tc>
        <w:tc>
          <w:tcPr>
            <w:tcW w:w="1040" w:type="dxa"/>
            <w:tcBorders>
              <w:top w:val="single" w:color="auto" w:sz="4" w:space="0"/>
              <w:left w:val="single" w:color="auto" w:sz="4" w:space="0"/>
              <w:bottom w:val="single" w:color="auto" w:sz="4" w:space="0"/>
              <w:right w:val="single" w:color="auto" w:sz="4" w:space="0"/>
            </w:tcBorders>
            <w:vAlign w:val="center"/>
          </w:tcPr>
          <w:p w14:paraId="64A0EF0B">
            <w:pPr>
              <w:pStyle w:val="29"/>
              <w:snapToGrid w:val="0"/>
              <w:spacing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eastAsia="宋体"/>
                <w:sz w:val="21"/>
                <w:lang w:val="en-US" w:eastAsia="zh-CN"/>
              </w:rPr>
              <w:t>智瞰哨兵管理平台</w:t>
            </w:r>
          </w:p>
        </w:tc>
        <w:tc>
          <w:tcPr>
            <w:tcW w:w="4301" w:type="dxa"/>
            <w:tcBorders>
              <w:top w:val="single" w:color="auto" w:sz="4" w:space="0"/>
              <w:left w:val="single" w:color="auto" w:sz="4" w:space="0"/>
              <w:bottom w:val="single" w:color="auto" w:sz="4" w:space="0"/>
              <w:right w:val="single" w:color="auto" w:sz="4" w:space="0"/>
            </w:tcBorders>
            <w:vAlign w:val="center"/>
          </w:tcPr>
          <w:p w14:paraId="40231CAF">
            <w:pPr>
              <w:snapToGrid w:val="0"/>
              <w:spacing w:before="12"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以服务价值链为核心，创造性地打通了从通信机房设备到客户业务体验的完整数据链条。它的最大特色在于实现了 “三个贯通”：一是横向到边的专业贯通，深度集成通信网络、动环等专业监控，形成统一视图；二是纵向到底的业务贯通，能将底层基础设施告警实时关联影响的上层业务服务和具体客户合同；三是管理闭环的流程贯通，让监控数据能自动驱动事件、容量管理和服务报告，最终将技术数据转化为可直接衡量服务价值和管理效能的管理语言，驱动运维从被动响应转向主动运营。</w:t>
            </w:r>
          </w:p>
        </w:tc>
        <w:tc>
          <w:tcPr>
            <w:tcW w:w="1154" w:type="dxa"/>
            <w:tcBorders>
              <w:top w:val="single" w:color="auto" w:sz="4" w:space="0"/>
              <w:left w:val="single" w:color="auto" w:sz="4" w:space="0"/>
              <w:bottom w:val="single" w:color="auto" w:sz="4" w:space="0"/>
              <w:right w:val="single" w:color="auto" w:sz="4" w:space="0"/>
            </w:tcBorders>
            <w:vAlign w:val="center"/>
          </w:tcPr>
          <w:p w14:paraId="519A03AF">
            <w:pPr>
              <w:snapToGrid w:val="0"/>
              <w:spacing w:before="12" w:line="240" w:lineRule="auto"/>
              <w:ind w:left="0" w:leftChars="0" w:right="0" w:rightChars="0" w:firstLine="0" w:firstLineChars="0"/>
              <w:jc w:val="center"/>
              <w:rPr>
                <w:rFonts w:hint="eastAsia" w:ascii="宋体" w:hAnsi="宋体" w:eastAsia="宋体" w:cs="宋体"/>
                <w:sz w:val="21"/>
                <w:szCs w:val="21"/>
              </w:rPr>
            </w:pPr>
            <w:r>
              <w:rPr>
                <w:rFonts w:ascii="宋体" w:hAnsi="宋体" w:eastAsia="宋体" w:cs="宋体"/>
                <w:sz w:val="21"/>
                <w:szCs w:val="24"/>
              </w:rPr>
              <w:t>翔云系统运维及知识管理体系建设项目</w:t>
            </w:r>
          </w:p>
        </w:tc>
        <w:tc>
          <w:tcPr>
            <w:tcW w:w="966" w:type="dxa"/>
            <w:tcBorders>
              <w:top w:val="single" w:color="auto" w:sz="4" w:space="0"/>
              <w:left w:val="single" w:color="auto" w:sz="4" w:space="0"/>
              <w:bottom w:val="single" w:color="auto" w:sz="4" w:space="0"/>
              <w:right w:val="single" w:color="auto" w:sz="4" w:space="0"/>
            </w:tcBorders>
            <w:vAlign w:val="center"/>
          </w:tcPr>
          <w:p w14:paraId="1D6990F0">
            <w:pPr>
              <w:snapToGrid w:val="0"/>
              <w:spacing w:before="78" w:line="240" w:lineRule="auto"/>
              <w:ind w:left="0" w:leftChars="0" w:right="0" w:rightChars="0" w:firstLine="0" w:firstLineChars="0"/>
              <w:jc w:val="center"/>
              <w:rPr>
                <w:rFonts w:hint="eastAsia" w:ascii="宋体" w:hAnsi="宋体" w:eastAsia="宋体" w:cs="宋体"/>
                <w:sz w:val="21"/>
                <w:szCs w:val="21"/>
                <w:lang w:eastAsia="zh-CN"/>
              </w:rPr>
            </w:pPr>
            <w:r>
              <w:rPr>
                <w:rFonts w:hint="eastAsia" w:ascii="宋体" w:hAnsi="宋体" w:eastAsia="宋体" w:cs="宋体"/>
                <w:spacing w:val="-3"/>
                <w:sz w:val="21"/>
                <w:szCs w:val="21"/>
                <w:lang w:val="en-US" w:eastAsia="zh-CN"/>
              </w:rPr>
              <w:t>外购</w:t>
            </w:r>
          </w:p>
        </w:tc>
        <w:tc>
          <w:tcPr>
            <w:tcW w:w="4211" w:type="dxa"/>
            <w:tcBorders>
              <w:top w:val="single" w:color="auto" w:sz="4" w:space="0"/>
              <w:left w:val="single" w:color="auto" w:sz="4" w:space="0"/>
              <w:bottom w:val="single" w:color="auto" w:sz="4" w:space="0"/>
              <w:right w:val="single" w:color="auto" w:sz="4" w:space="0"/>
            </w:tcBorders>
            <w:vAlign w:val="center"/>
          </w:tcPr>
          <w:p w14:paraId="645F2638">
            <w:pPr>
              <w:snapToGrid w:val="0"/>
              <w:spacing w:before="12" w:line="240" w:lineRule="auto"/>
              <w:ind w:left="0" w:leftChars="0" w:right="0" w:rightChars="0" w:firstLine="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借助立体化监控工具链，实现了对微服务架构下数千实例的健康状态、性能指标与调用链路的实时可视与智能预警，使潜在故障的平均发现时间（MTTD）大幅提前，有效保障了核心业务系统的高可用性。</w:t>
            </w:r>
          </w:p>
        </w:tc>
        <w:tc>
          <w:tcPr>
            <w:tcW w:w="1064" w:type="dxa"/>
            <w:tcBorders>
              <w:top w:val="single" w:color="auto" w:sz="4" w:space="0"/>
              <w:left w:val="single" w:color="auto" w:sz="4" w:space="0"/>
              <w:bottom w:val="single" w:color="auto" w:sz="4" w:space="0"/>
              <w:right w:val="single" w:color="auto" w:sz="4" w:space="0"/>
            </w:tcBorders>
            <w:vAlign w:val="center"/>
          </w:tcPr>
          <w:p w14:paraId="3D2873AE">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徐超超</w:t>
            </w:r>
          </w:p>
          <w:p w14:paraId="7F8DFB09">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2025.11.20</w:t>
            </w:r>
          </w:p>
        </w:tc>
      </w:tr>
      <w:tr w14:paraId="4D5B8F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461" w:type="dxa"/>
            <w:tcBorders>
              <w:top w:val="single" w:color="auto" w:sz="4" w:space="0"/>
              <w:left w:val="single" w:color="auto" w:sz="4" w:space="0"/>
              <w:bottom w:val="single" w:color="auto" w:sz="4" w:space="0"/>
              <w:right w:val="single" w:color="auto" w:sz="4" w:space="0"/>
            </w:tcBorders>
            <w:vAlign w:val="center"/>
          </w:tcPr>
          <w:p w14:paraId="28D6925D">
            <w:pPr>
              <w:pStyle w:val="2"/>
              <w:bidi w:val="0"/>
              <w:snapToGrid w:val="0"/>
              <w:spacing w:line="240" w:lineRule="auto"/>
              <w:ind w:left="0" w:leftChars="0" w:right="0" w:rightChars="0" w:firstLine="0" w:firstLineChars="0"/>
              <w:jc w:val="left"/>
              <w:rPr>
                <w:rFonts w:hint="eastAsia" w:ascii="宋体" w:hAnsi="宋体" w:eastAsia="宋体" w:cs="宋体"/>
                <w:sz w:val="21"/>
                <w:szCs w:val="24"/>
              </w:rPr>
            </w:pPr>
            <w:bookmarkStart w:id="4" w:name="_Toc27196"/>
            <w:r>
              <w:rPr>
                <w:rFonts w:hint="eastAsia" w:ascii="宋体" w:hAnsi="宋体" w:eastAsia="宋体" w:cs="宋体"/>
                <w:sz w:val="21"/>
                <w:szCs w:val="24"/>
                <w:lang w:val="en-US" w:eastAsia="zh-CN"/>
              </w:rPr>
              <w:t>服务知识</w:t>
            </w:r>
            <w:bookmarkEnd w:id="4"/>
          </w:p>
        </w:tc>
        <w:tc>
          <w:tcPr>
            <w:tcW w:w="1040" w:type="dxa"/>
            <w:tcBorders>
              <w:top w:val="single" w:color="auto" w:sz="4" w:space="0"/>
              <w:left w:val="single" w:color="auto" w:sz="4" w:space="0"/>
              <w:bottom w:val="single" w:color="auto" w:sz="4" w:space="0"/>
              <w:right w:val="single" w:color="auto" w:sz="4" w:space="0"/>
            </w:tcBorders>
            <w:vAlign w:val="center"/>
          </w:tcPr>
          <w:p w14:paraId="31383FCC">
            <w:pPr>
              <w:pStyle w:val="29"/>
              <w:snapToGrid w:val="0"/>
              <w:spacing w:line="240" w:lineRule="auto"/>
              <w:ind w:left="0" w:leftChars="0" w:right="0" w:rightChars="0" w:firstLine="0" w:firstLineChars="0"/>
              <w:jc w:val="center"/>
              <w:rPr>
                <w:rFonts w:hint="default" w:ascii="宋体" w:eastAsia="宋体"/>
                <w:sz w:val="21"/>
                <w:lang w:val="en-US" w:eastAsia="zh-CN"/>
              </w:rPr>
            </w:pPr>
            <w:r>
              <w:rPr>
                <w:rFonts w:hint="eastAsia" w:ascii="宋体" w:eastAsia="宋体"/>
                <w:sz w:val="21"/>
                <w:lang w:val="en-US" w:eastAsia="zh-CN"/>
              </w:rPr>
              <w:t>翔云-服务价值平台</w:t>
            </w:r>
          </w:p>
        </w:tc>
        <w:tc>
          <w:tcPr>
            <w:tcW w:w="4301" w:type="dxa"/>
            <w:tcBorders>
              <w:top w:val="single" w:color="auto" w:sz="4" w:space="0"/>
              <w:left w:val="single" w:color="auto" w:sz="4" w:space="0"/>
              <w:bottom w:val="single" w:color="auto" w:sz="4" w:space="0"/>
              <w:right w:val="single" w:color="auto" w:sz="4" w:space="0"/>
            </w:tcBorders>
            <w:vAlign w:val="center"/>
          </w:tcPr>
          <w:p w14:paraId="2EE2274B">
            <w:pPr>
              <w:snapToGrid w:val="0"/>
              <w:spacing w:before="12" w:line="240" w:lineRule="auto"/>
              <w:ind w:left="0" w:leftChars="0" w:right="0" w:rightChars="0" w:firstLine="0" w:firstLineChars="0"/>
              <w:jc w:val="left"/>
              <w:rPr>
                <w:rFonts w:hint="eastAsia" w:ascii="宋体" w:hAnsi="宋体" w:eastAsia="宋体" w:cs="宋体"/>
                <w:sz w:val="21"/>
                <w:szCs w:val="21"/>
                <w:lang w:val="en-US" w:eastAsia="zh-CN"/>
              </w:rPr>
            </w:pPr>
            <w:r>
              <w:rPr>
                <w:rFonts w:ascii="宋体" w:hAnsi="Segoe UI" w:eastAsia="宋体" w:cs="Segoe UI"/>
                <w:i w:val="0"/>
                <w:iCs w:val="0"/>
                <w:caps w:val="0"/>
                <w:color w:val="0F1115"/>
                <w:spacing w:val="0"/>
                <w:sz w:val="21"/>
                <w:szCs w:val="19"/>
                <w:shd w:val="clear" w:fill="FFFFFF"/>
              </w:rPr>
              <w:t>涵盖知识</w:t>
            </w:r>
            <w:r>
              <w:rPr>
                <w:rFonts w:hint="default" w:ascii="宋体" w:hAnsi="Segoe UI" w:eastAsia="宋体" w:cs="Segoe UI"/>
                <w:i w:val="0"/>
                <w:iCs w:val="0"/>
                <w:caps w:val="0"/>
                <w:color w:val="0F1115"/>
                <w:spacing w:val="0"/>
                <w:sz w:val="21"/>
                <w:szCs w:val="19"/>
                <w:shd w:val="clear" w:fill="FFFFFF"/>
              </w:rPr>
              <w:t>的新增、分类、导入</w:t>
            </w:r>
            <w:r>
              <w:rPr>
                <w:rFonts w:hint="eastAsia" w:ascii="宋体" w:hAnsi="Segoe UI" w:eastAsia="宋体" w:cs="Segoe UI"/>
                <w:i w:val="0"/>
                <w:iCs w:val="0"/>
                <w:caps w:val="0"/>
                <w:color w:val="0F1115"/>
                <w:spacing w:val="0"/>
                <w:sz w:val="21"/>
                <w:szCs w:val="19"/>
                <w:shd w:val="clear" w:fill="FFFFFF"/>
                <w:lang w:val="en-US" w:eastAsia="zh-CN"/>
              </w:rPr>
              <w:t>三</w:t>
            </w:r>
            <w:r>
              <w:rPr>
                <w:rFonts w:hint="default" w:ascii="宋体" w:hAnsi="Segoe UI" w:eastAsia="宋体" w:cs="Segoe UI"/>
                <w:i w:val="0"/>
                <w:iCs w:val="0"/>
                <w:caps w:val="0"/>
                <w:color w:val="0F1115"/>
                <w:spacing w:val="0"/>
                <w:sz w:val="21"/>
                <w:szCs w:val="19"/>
                <w:shd w:val="clear" w:fill="FFFFFF"/>
              </w:rPr>
              <w:t>大核心能力</w:t>
            </w:r>
          </w:p>
        </w:tc>
        <w:tc>
          <w:tcPr>
            <w:tcW w:w="1154" w:type="dxa"/>
            <w:tcBorders>
              <w:top w:val="single" w:color="auto" w:sz="4" w:space="0"/>
              <w:left w:val="single" w:color="auto" w:sz="4" w:space="0"/>
              <w:bottom w:val="single" w:color="auto" w:sz="4" w:space="0"/>
              <w:right w:val="single" w:color="auto" w:sz="4" w:space="0"/>
            </w:tcBorders>
            <w:vAlign w:val="center"/>
          </w:tcPr>
          <w:p w14:paraId="7D0B653B">
            <w:pPr>
              <w:snapToGrid w:val="0"/>
              <w:spacing w:before="12" w:line="240" w:lineRule="auto"/>
              <w:ind w:left="0" w:leftChars="0" w:right="0" w:rightChars="0" w:firstLine="0" w:firstLineChars="0"/>
              <w:jc w:val="center"/>
              <w:rPr>
                <w:rFonts w:ascii="宋体" w:hAnsi="宋体" w:eastAsia="宋体" w:cs="宋体"/>
                <w:sz w:val="21"/>
                <w:szCs w:val="24"/>
              </w:rPr>
            </w:pPr>
            <w:r>
              <w:rPr>
                <w:rFonts w:ascii="宋体" w:hAnsi="宋体" w:eastAsia="宋体" w:cs="宋体"/>
                <w:sz w:val="21"/>
                <w:szCs w:val="24"/>
              </w:rPr>
              <w:t>翔云系统运维及知识管理体系建设项目</w:t>
            </w:r>
          </w:p>
        </w:tc>
        <w:tc>
          <w:tcPr>
            <w:tcW w:w="966" w:type="dxa"/>
            <w:tcBorders>
              <w:top w:val="single" w:color="auto" w:sz="4" w:space="0"/>
              <w:left w:val="single" w:color="auto" w:sz="4" w:space="0"/>
              <w:bottom w:val="single" w:color="auto" w:sz="4" w:space="0"/>
              <w:right w:val="single" w:color="auto" w:sz="4" w:space="0"/>
            </w:tcBorders>
            <w:vAlign w:val="center"/>
          </w:tcPr>
          <w:p w14:paraId="56D1AD7A">
            <w:pPr>
              <w:snapToGrid w:val="0"/>
              <w:spacing w:before="78" w:line="240" w:lineRule="auto"/>
              <w:ind w:left="0" w:leftChars="0" w:right="0" w:rightChars="0" w:firstLine="0" w:firstLineChars="0"/>
              <w:jc w:val="center"/>
              <w:rPr>
                <w:rFonts w:hint="default" w:ascii="宋体" w:hAnsi="宋体" w:eastAsia="宋体" w:cs="宋体"/>
                <w:spacing w:val="-3"/>
                <w:sz w:val="21"/>
                <w:szCs w:val="21"/>
                <w:lang w:val="en-US" w:eastAsia="zh-CN"/>
              </w:rPr>
            </w:pPr>
            <w:r>
              <w:rPr>
                <w:rFonts w:hint="eastAsia" w:ascii="宋体" w:hAnsi="宋体" w:eastAsia="宋体" w:cs="宋体"/>
                <w:spacing w:val="-3"/>
                <w:sz w:val="21"/>
                <w:szCs w:val="21"/>
                <w:lang w:val="en-US" w:eastAsia="zh-CN"/>
              </w:rPr>
              <w:t>自研</w:t>
            </w:r>
          </w:p>
        </w:tc>
        <w:tc>
          <w:tcPr>
            <w:tcW w:w="4211" w:type="dxa"/>
            <w:tcBorders>
              <w:top w:val="single" w:color="auto" w:sz="4" w:space="0"/>
              <w:left w:val="single" w:color="auto" w:sz="4" w:space="0"/>
              <w:bottom w:val="single" w:color="auto" w:sz="4" w:space="0"/>
              <w:right w:val="single" w:color="auto" w:sz="4" w:space="0"/>
            </w:tcBorders>
            <w:vAlign w:val="center"/>
          </w:tcPr>
          <w:p w14:paraId="27A6DA3A">
            <w:pPr>
              <w:snapToGrid w:val="0"/>
              <w:spacing w:before="12" w:line="240" w:lineRule="auto"/>
              <w:ind w:left="0" w:leftChars="0" w:right="0" w:rightChars="0" w:firstLine="0" w:firstLineChars="0"/>
              <w:jc w:val="left"/>
              <w:rPr>
                <w:rFonts w:hint="default" w:ascii="宋体" w:hAnsi="宋体" w:eastAsia="宋体" w:cs="宋体"/>
                <w:sz w:val="21"/>
                <w:szCs w:val="21"/>
                <w:lang w:val="en-US" w:eastAsia="zh-CN"/>
              </w:rPr>
            </w:pPr>
            <w:r>
              <w:rPr>
                <w:rFonts w:ascii="宋体" w:hAnsi="Segoe UI" w:eastAsia="宋体" w:cs="Segoe UI"/>
                <w:i w:val="0"/>
                <w:iCs w:val="0"/>
                <w:caps w:val="0"/>
                <w:color w:val="0F1115"/>
                <w:spacing w:val="0"/>
                <w:sz w:val="21"/>
                <w:szCs w:val="19"/>
                <w:shd w:val="clear" w:fill="FFFFFF"/>
              </w:rPr>
              <w:t>版本管理与审核流程确保知识准确率保持在95%以上，知识平均更新周期缩短至15天，持续贴合业务变化。</w:t>
            </w:r>
          </w:p>
        </w:tc>
        <w:tc>
          <w:tcPr>
            <w:tcW w:w="1064" w:type="dxa"/>
            <w:tcBorders>
              <w:top w:val="single" w:color="auto" w:sz="4" w:space="0"/>
              <w:left w:val="single" w:color="auto" w:sz="4" w:space="0"/>
              <w:bottom w:val="single" w:color="auto" w:sz="4" w:space="0"/>
              <w:right w:val="single" w:color="auto" w:sz="4" w:space="0"/>
            </w:tcBorders>
            <w:shd w:val="clear" w:color="auto" w:fill="auto"/>
            <w:vAlign w:val="center"/>
          </w:tcPr>
          <w:p w14:paraId="25348ACD">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徐超超</w:t>
            </w:r>
          </w:p>
          <w:p w14:paraId="2BC5B87E">
            <w:pPr>
              <w:snapToGrid w:val="0"/>
              <w:spacing w:before="26" w:line="240" w:lineRule="auto"/>
              <w:ind w:left="0" w:leftChars="0" w:right="0" w:rightChars="0" w:firstLine="0" w:firstLineChars="0"/>
              <w:jc w:val="center"/>
              <w:rPr>
                <w:rFonts w:hint="eastAsia" w:ascii="宋体" w:hAnsi="宋体" w:eastAsia="宋体" w:cs="宋体"/>
                <w:snapToGrid w:val="0"/>
                <w:color w:val="000000"/>
                <w:spacing w:val="-2"/>
                <w:kern w:val="0"/>
                <w:sz w:val="21"/>
                <w:szCs w:val="21"/>
                <w:lang w:val="en-US" w:eastAsia="zh-CN" w:bidi="ar-SA"/>
              </w:rPr>
            </w:pPr>
            <w:r>
              <w:rPr>
                <w:rFonts w:hint="eastAsia" w:ascii="宋体" w:hAnsi="宋体" w:eastAsia="宋体" w:cs="宋体"/>
                <w:spacing w:val="-2"/>
                <w:sz w:val="21"/>
                <w:szCs w:val="21"/>
                <w:lang w:val="en-US" w:eastAsia="zh-CN"/>
              </w:rPr>
              <w:t>2025.11.20</w:t>
            </w:r>
          </w:p>
        </w:tc>
      </w:tr>
    </w:tbl>
    <w:p w14:paraId="195108B8">
      <w:pPr>
        <w:pStyle w:val="29"/>
        <w:ind w:left="0" w:leftChars="0" w:firstLine="0" w:firstLineChars="0"/>
        <w:rPr>
          <w:rFonts w:hint="default"/>
          <w:lang w:val="en-US" w:eastAsia="zh-CN"/>
        </w:rPr>
      </w:pPr>
    </w:p>
    <w:sectPr>
      <w:pgSz w:w="16838" w:h="11906" w:orient="landscape"/>
      <w:pgMar w:top="1800" w:right="1417" w:bottom="1800" w:left="144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FACE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EC7A41"/>
    <w:rsid w:val="01611BDD"/>
    <w:rsid w:val="0949172A"/>
    <w:rsid w:val="0A74500D"/>
    <w:rsid w:val="0EF56BB3"/>
    <w:rsid w:val="15D9239D"/>
    <w:rsid w:val="19F416DC"/>
    <w:rsid w:val="257632D6"/>
    <w:rsid w:val="257C53A7"/>
    <w:rsid w:val="2BBB2FE0"/>
    <w:rsid w:val="30C916BD"/>
    <w:rsid w:val="33B71880"/>
    <w:rsid w:val="387B329C"/>
    <w:rsid w:val="3D006466"/>
    <w:rsid w:val="49AB59AC"/>
    <w:rsid w:val="590F0093"/>
    <w:rsid w:val="5D906018"/>
    <w:rsid w:val="5E440284"/>
    <w:rsid w:val="609D79A4"/>
    <w:rsid w:val="67ED7463"/>
    <w:rsid w:val="6C6B6BA9"/>
    <w:rsid w:val="72F07E08"/>
    <w:rsid w:val="741012B2"/>
    <w:rsid w:val="7499627D"/>
    <w:rsid w:val="766905FD"/>
    <w:rsid w:val="76F37EC6"/>
    <w:rsid w:val="7F4D0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973</Words>
  <Characters>1063</Characters>
  <Lines>0</Lines>
  <Paragraphs>0</Paragraphs>
  <TotalTime>0</TotalTime>
  <ScaleCrop>false</ScaleCrop>
  <LinksUpToDate>false</LinksUpToDate>
  <CharactersWithSpaces>1078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2026-02-06T10:00:37Z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