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741A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121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2C0E8D8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234"/>
      <w:r>
        <w:rPr>
          <w:rFonts w:hint="eastAsia"/>
          <w:lang w:val="en-US" w:eastAsia="zh-CN"/>
        </w:rPr>
        <w:t>服务台应用情况说明</w:t>
      </w:r>
      <w:bookmarkEnd w:id="1"/>
    </w:p>
    <w:p w14:paraId="4A13AB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9381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676CD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3DDC0D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7A312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37F07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DE1A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73721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20F1B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5F3842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30E5F7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AF3781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C961B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E1F99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6C9D8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B9E68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88F7F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8BE92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461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515DF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C9389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66F351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253E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C4517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44370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7E557C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0D34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78E0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C7052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B63BA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0FA79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25862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DCCBA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7C3E3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399333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92633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C278A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FCCE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33D3E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44C32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CA8C0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279F9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3349F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40E93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5AA69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0A9E9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98757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A8FF0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0537E8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B14CA28">
          <w:pPr>
            <w:pStyle w:val="16"/>
            <w:tabs>
              <w:tab w:val="right" w:leader="dot" w:pos="8306"/>
            </w:tabs>
          </w:pPr>
          <w:bookmarkStart w:id="19" w:name="_GoBack"/>
          <w:bookmarkEnd w:id="19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_Toc18121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7ADFC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服务台应用情况说明</w:t>
          </w:r>
          <w:r>
            <w:tab/>
          </w:r>
          <w:r>
            <w:fldChar w:fldCharType="begin"/>
          </w:r>
          <w:r>
            <w:instrText xml:space="preserve"> PAGEREF _Toc5234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2F16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_Toc18238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30F01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服务台运行机制与实施情况</w:t>
          </w:r>
          <w:r>
            <w:tab/>
          </w:r>
          <w:r>
            <w:fldChar w:fldCharType="begin"/>
          </w:r>
          <w:r>
            <w:instrText xml:space="preserve"> PAGEREF _Toc1522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45C0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制度落实与体系建设</w:t>
          </w:r>
          <w:r>
            <w:tab/>
          </w:r>
          <w:r>
            <w:fldChar w:fldCharType="begin"/>
          </w:r>
          <w:r>
            <w:instrText xml:space="preserve"> PAGEREF _Toc1341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C524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流程执行与日常运营</w:t>
          </w:r>
          <w:r>
            <w:tab/>
          </w:r>
          <w:r>
            <w:fldChar w:fldCharType="begin"/>
          </w:r>
          <w:r>
            <w:instrText xml:space="preserve"> PAGEREF _Toc21271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12F10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统一接入与智能分配</w:t>
          </w:r>
          <w:r>
            <w:tab/>
          </w:r>
          <w:r>
            <w:fldChar w:fldCharType="begin"/>
          </w:r>
          <w:r>
            <w:instrText xml:space="preserve"> PAGEREF _Toc19590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A0DDE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标准化作业与即时响应</w:t>
          </w:r>
          <w:r>
            <w:tab/>
          </w:r>
          <w:r>
            <w:fldChar w:fldCharType="begin"/>
          </w:r>
          <w:r>
            <w:instrText xml:space="preserve"> PAGEREF _Toc9396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33FE9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分级处理与主动跟踪</w:t>
          </w:r>
          <w:r>
            <w:tab/>
          </w:r>
          <w:r>
            <w:fldChar w:fldCharType="begin"/>
          </w:r>
          <w:r>
            <w:instrText xml:space="preserve"> PAGEREF _Toc18027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9EC0F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闭环验证与用户回访</w:t>
          </w:r>
          <w:r>
            <w:tab/>
          </w:r>
          <w:r>
            <w:fldChar w:fldCharType="begin"/>
          </w:r>
          <w:r>
            <w:instrText xml:space="preserve"> PAGEREF _Toc15218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4CD2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质量监控、数据分析与绩效评估</w:t>
          </w:r>
          <w:r>
            <w:tab/>
          </w:r>
          <w:r>
            <w:fldChar w:fldCharType="begin"/>
          </w:r>
          <w:r>
            <w:instrText xml:space="preserve"> PAGEREF _Toc777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C0F13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2.3.1. 核心指标持续监测</w:t>
          </w:r>
          <w:r>
            <w:tab/>
          </w:r>
          <w:r>
            <w:fldChar w:fldCharType="begin"/>
          </w:r>
          <w:r>
            <w:instrText xml:space="preserve"> PAGEREF _Toc22702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812DC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2.3.2. 数据驱动的定期复盘</w:t>
          </w:r>
          <w:r>
            <w:tab/>
          </w:r>
          <w:r>
            <w:fldChar w:fldCharType="begin"/>
          </w:r>
          <w:r>
            <w:instrText xml:space="preserve"> PAGEREF _Toc12599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F4D4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持续改进与能力建设</w:t>
          </w:r>
          <w:r>
            <w:tab/>
          </w:r>
          <w:r>
            <w:fldChar w:fldCharType="begin"/>
          </w:r>
          <w:r>
            <w:instrText xml:space="preserve"> PAGEREF _Toc16164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35022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2.4.1. 流程迭代优化</w:t>
          </w:r>
          <w:r>
            <w:tab/>
          </w:r>
          <w:r>
            <w:fldChar w:fldCharType="begin"/>
          </w:r>
          <w:r>
            <w:instrText xml:space="preserve"> PAGEREF _Toc8951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F56AF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2.4.2. 知识管理与赋能</w:t>
          </w:r>
          <w:r>
            <w:tab/>
          </w:r>
          <w:r>
            <w:fldChar w:fldCharType="begin"/>
          </w:r>
          <w:r>
            <w:instrText xml:space="preserve"> PAGEREF _Toc4639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9E3A8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2.4.3. 系统工具优化</w:t>
          </w:r>
          <w:r>
            <w:tab/>
          </w:r>
          <w:r>
            <w:fldChar w:fldCharType="begin"/>
          </w:r>
          <w:r>
            <w:instrText xml:space="preserve"> PAGEREF _Toc27248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52AD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考核指标达成情况</w:t>
          </w:r>
          <w:r>
            <w:tab/>
          </w:r>
          <w:r>
            <w:fldChar w:fldCharType="begin"/>
          </w:r>
          <w:r>
            <w:instrText xml:space="preserve"> PAGEREF _Toc20236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123B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结论与展望</w:t>
          </w:r>
          <w:r>
            <w:tab/>
          </w:r>
          <w:r>
            <w:fldChar w:fldCharType="begin"/>
          </w:r>
          <w:r>
            <w:instrText xml:space="preserve"> PAGEREF _Toc31676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78B08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89A73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36B331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8238"/>
      <w:r>
        <w:rPr>
          <w:rFonts w:hint="default"/>
          <w:lang w:val="en-US" w:eastAsia="zh-CN"/>
        </w:rPr>
        <w:t>概述</w:t>
      </w:r>
      <w:bookmarkEnd w:id="2"/>
    </w:p>
    <w:p w14:paraId="583A77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落实《服务台管理制度》，规范服务台工作流程，提升事件响应与处理效率，服务台自制度发布以来，已全面推行标准化、流程化管理。本说明旨在总结服务台的实际应用情况，结合PDCA循环管理模式，持续优化服务支持体系。</w:t>
      </w:r>
    </w:p>
    <w:p w14:paraId="27BD427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522"/>
      <w:r>
        <w:rPr>
          <w:rFonts w:hint="default"/>
          <w:lang w:val="en-US" w:eastAsia="zh-CN"/>
        </w:rPr>
        <w:t>服务台运行机制与实施情况</w:t>
      </w:r>
      <w:bookmarkEnd w:id="3"/>
    </w:p>
    <w:p w14:paraId="19E13A0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341"/>
      <w:r>
        <w:rPr>
          <w:rFonts w:hint="default"/>
          <w:lang w:val="en-US" w:eastAsia="zh-CN"/>
        </w:rPr>
        <w:t>制度落实与体系建设</w:t>
      </w:r>
      <w:bookmarkEnd w:id="4"/>
    </w:p>
    <w:p w14:paraId="068E34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制度标准化落地：以《服务台管理制度》为根本遵循，已完成服务台全部岗位的操作规程（SOP）细化，确保每一环节的处理动作均有据可依、有章可循。</w:t>
      </w:r>
    </w:p>
    <w:p w14:paraId="305FEA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矩阵清晰化：不仅明确了数智运营部经理与服务台专员的纵向管理与执行关系，更横向厘清了服务台与二线、三线技术支持团队间的职责边界与协作接口，建立了“首问负责、分级处置、协同闭环”的责任体系。</w:t>
      </w:r>
    </w:p>
    <w:p w14:paraId="456A66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全流程闭环设计：构建了从“接入记录→分类诊断→派发处理→跟踪协调→回访关闭”的完整工单生命周期管理流程，并配套了相应的超时预警与升级规则，确保所有事件与服务请求均在受控流程内运转。</w:t>
      </w:r>
    </w:p>
    <w:p w14:paraId="1D53254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1271"/>
      <w:r>
        <w:rPr>
          <w:rFonts w:hint="default"/>
          <w:lang w:val="en-US" w:eastAsia="zh-CN"/>
        </w:rPr>
        <w:t>流程执行与日常运营</w:t>
      </w:r>
      <w:bookmarkEnd w:id="5"/>
    </w:p>
    <w:p w14:paraId="0094AFF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9590"/>
      <w:r>
        <w:rPr>
          <w:rFonts w:hint="default"/>
          <w:lang w:val="en-US" w:eastAsia="zh-CN"/>
        </w:rPr>
        <w:t>统一接入与智能分配</w:t>
      </w:r>
      <w:bookmarkEnd w:id="6"/>
    </w:p>
    <w:p w14:paraId="7A7757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通过服务热线、专属邮箱及工单系统三大渠道集中受理用户请求。系统可根据预设规则对工单进行自动标签化分类与初步路由，提升分配效率。</w:t>
      </w:r>
    </w:p>
    <w:p w14:paraId="5C0F6FB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9396"/>
      <w:r>
        <w:rPr>
          <w:rFonts w:hint="default"/>
          <w:lang w:val="en-US" w:eastAsia="zh-CN"/>
        </w:rPr>
        <w:t>标准化作业与即时响应</w:t>
      </w:r>
      <w:bookmarkEnd w:id="7"/>
    </w:p>
    <w:p w14:paraId="341763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记录模板化：工单系统内置标准化信息采集模板，强制要求录入用户信息、问题详述、影响范围、紧急/影响程度等关键字段，为后续分析与处理奠定数据基础。</w:t>
      </w:r>
    </w:p>
    <w:p w14:paraId="25728C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响应制度化：严格执行“受理后15分钟内响应”的服务承诺，首次响应不仅限于系统确认，更包含通过电话或即时消息与用户进行初步沟通，安抚情绪并确认问题细节。</w:t>
      </w:r>
    </w:p>
    <w:p w14:paraId="7B37A9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8027"/>
      <w:r>
        <w:rPr>
          <w:rFonts w:hint="default"/>
          <w:lang w:val="en-US" w:eastAsia="zh-CN"/>
        </w:rPr>
        <w:t>分级处理与主动跟踪</w:t>
      </w:r>
      <w:bookmarkEnd w:id="8"/>
    </w:p>
    <w:p w14:paraId="0913DD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服务台专员利用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对常见问题进行一线解决。对于复杂技术问题，依据分类结果精准派发至相应技术支持团队，并明确约定初步响应与解决时限。</w:t>
      </w:r>
    </w:p>
    <w:p w14:paraId="46EF75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服务台设立专职跟单岗位，对流转中的工单进行全程可视化跟踪。通过系统提醒与人工主动询问相结合的方式，协调处理资源，对临期或超时工单启动升级通知机制。</w:t>
      </w:r>
    </w:p>
    <w:p w14:paraId="4245256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5218"/>
      <w:r>
        <w:rPr>
          <w:rFonts w:hint="default"/>
          <w:lang w:val="en-US" w:eastAsia="zh-CN"/>
        </w:rPr>
        <w:t>闭环验证与用户回访</w:t>
      </w:r>
      <w:bookmarkEnd w:id="9"/>
    </w:p>
    <w:p w14:paraId="23A47F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问题经技术支持团队解决后，必须由服务台在24小时内对用户进行百分百回访。</w:t>
      </w:r>
    </w:p>
    <w:p w14:paraId="7146DC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回访内容结构化，重点确认问题是否彻底解决、服务过程是否满意。对于“未解决”或“不满意”的反馈，工单将不予关闭，并自动触发“重新处理”或“管理升级”流程。</w:t>
      </w:r>
    </w:p>
    <w:p w14:paraId="0D94EF6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777"/>
      <w:r>
        <w:rPr>
          <w:rFonts w:hint="default"/>
          <w:lang w:val="en-US" w:eastAsia="zh-CN"/>
        </w:rPr>
        <w:t>质量监控、数据分析与绩效评估</w:t>
      </w:r>
      <w:bookmarkEnd w:id="10"/>
    </w:p>
    <w:p w14:paraId="4FB57D1D">
      <w:pPr>
        <w:pStyle w:val="31"/>
        <w:bidi w:val="0"/>
        <w:rPr>
          <w:rFonts w:hint="default"/>
          <w:lang w:val="en-US" w:eastAsia="zh-CN"/>
        </w:rPr>
      </w:pPr>
      <w:bookmarkStart w:id="11" w:name="_Toc22702"/>
      <w:r>
        <w:rPr>
          <w:rFonts w:hint="default"/>
          <w:lang w:val="en-US" w:eastAsia="zh-CN"/>
        </w:rPr>
        <w:t>核心指标持续监测</w:t>
      </w:r>
      <w:bookmarkEnd w:id="11"/>
    </w:p>
    <w:p w14:paraId="33D5DE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派单成功率：作为核心KPI，按季度进行严格考核。通过分析退回工单的原因（如派错对象、描述不清、权限不符等），反向推动分类准确性与派单规范的改进。</w:t>
      </w:r>
    </w:p>
    <w:p w14:paraId="2837F1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辅助指标体系：同步监控“一线解决率”、“平均首次响应时间”、“平均解决时间”、“用户满意度”等过程性与结果性指标，形成对服务台工作质量的多维度评价。</w:t>
      </w:r>
    </w:p>
    <w:p w14:paraId="6F0B1E50">
      <w:pPr>
        <w:pStyle w:val="31"/>
        <w:bidi w:val="0"/>
        <w:rPr>
          <w:rFonts w:hint="default"/>
          <w:lang w:val="en-US" w:eastAsia="zh-CN"/>
        </w:rPr>
      </w:pPr>
      <w:bookmarkStart w:id="12" w:name="_Toc12599"/>
      <w:r>
        <w:rPr>
          <w:rFonts w:hint="default"/>
          <w:lang w:val="en-US" w:eastAsia="zh-CN"/>
        </w:rPr>
        <w:t>数据驱动的定期复盘</w:t>
      </w:r>
      <w:bookmarkEnd w:id="12"/>
    </w:p>
    <w:p w14:paraId="53E4A1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每月、每季度对工单数据进行深度分析，生成服务报告。报告内容涵盖事件类型分布、高频问题、处理时效趋势、各支持团队负荷与效能等，为管理决策提供数据支持。</w:t>
      </w:r>
    </w:p>
    <w:p w14:paraId="54D91B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建立基于数据的“问题溯源”机制，对反复出现的同类事件或处理瓶颈，推动启动根源性解决方案或流程优化项目。</w:t>
      </w:r>
    </w:p>
    <w:p w14:paraId="27E6194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6164"/>
      <w:r>
        <w:rPr>
          <w:rFonts w:hint="default"/>
          <w:lang w:val="en-US" w:eastAsia="zh-CN"/>
        </w:rPr>
        <w:t>持续改进与能力建设</w:t>
      </w:r>
      <w:bookmarkEnd w:id="13"/>
    </w:p>
    <w:p w14:paraId="08730DAB">
      <w:pPr>
        <w:pStyle w:val="31"/>
        <w:bidi w:val="0"/>
        <w:rPr>
          <w:rFonts w:hint="default"/>
          <w:lang w:val="en-US" w:eastAsia="zh-CN"/>
        </w:rPr>
      </w:pPr>
      <w:bookmarkStart w:id="14" w:name="_Toc8951"/>
      <w:r>
        <w:rPr>
          <w:rFonts w:hint="default"/>
          <w:lang w:val="en-US" w:eastAsia="zh-CN"/>
        </w:rPr>
        <w:t>流程迭代优化</w:t>
      </w:r>
      <w:bookmarkEnd w:id="14"/>
    </w:p>
    <w:p w14:paraId="3C926D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每季度根据指标达成情况、用户反馈及复盘发现的问题，对服务台管理制度及相关流程进行评审和修订。例如，优化了重大事件升级路径，补充了特定场景下的快速处理通道。</w:t>
      </w:r>
    </w:p>
    <w:p w14:paraId="1B6508F1">
      <w:pPr>
        <w:pStyle w:val="31"/>
        <w:bidi w:val="0"/>
        <w:rPr>
          <w:rFonts w:hint="default"/>
          <w:lang w:val="en-US" w:eastAsia="zh-CN"/>
        </w:rPr>
      </w:pPr>
      <w:bookmarkStart w:id="15" w:name="_Toc4639"/>
      <w:r>
        <w:rPr>
          <w:rFonts w:hint="default"/>
          <w:lang w:val="en-US" w:eastAsia="zh-CN"/>
        </w:rPr>
        <w:t>知识管理与赋能</w:t>
      </w:r>
      <w:bookmarkEnd w:id="15"/>
    </w:p>
    <w:p w14:paraId="429737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系统化地将在处理过程中形成的解决方案沉淀至共享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，并定期组织服务台专员进行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更新学习与案例研讨培训，持续提升一线人员的自主解决能力与专业水平。</w:t>
      </w:r>
    </w:p>
    <w:p w14:paraId="251C0668">
      <w:pPr>
        <w:pStyle w:val="31"/>
        <w:bidi w:val="0"/>
        <w:rPr>
          <w:rFonts w:hint="default"/>
          <w:lang w:val="en-US" w:eastAsia="zh-CN"/>
        </w:rPr>
      </w:pPr>
      <w:bookmarkStart w:id="16" w:name="_Toc27248"/>
      <w:r>
        <w:rPr>
          <w:rFonts w:hint="default"/>
          <w:lang w:val="en-US" w:eastAsia="zh-CN"/>
        </w:rPr>
        <w:t>系统工具优化</w:t>
      </w:r>
      <w:bookmarkEnd w:id="16"/>
    </w:p>
    <w:p w14:paraId="536CD1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与IT部门紧密协作，基于一线使用反馈，持续对工单系统提出优化需求，如开发移动端处理功能、增强报表自定义能力、集成即时通讯工具等，以技术手段提升运营效率与服务体验。</w:t>
      </w:r>
    </w:p>
    <w:p w14:paraId="010121ED">
      <w:pPr>
        <w:pStyle w:val="28"/>
        <w:bidi w:val="0"/>
        <w:rPr>
          <w:rFonts w:hint="eastAsia"/>
          <w:lang w:val="en-US" w:eastAsia="zh-CN"/>
        </w:rPr>
      </w:pPr>
      <w:bookmarkStart w:id="17" w:name="_Toc20236"/>
      <w:r>
        <w:rPr>
          <w:rFonts w:hint="eastAsia"/>
          <w:lang w:val="en-US" w:eastAsia="zh-CN"/>
        </w:rPr>
        <w:t>考核指标达成情况</w:t>
      </w:r>
      <w:bookmarkEnd w:id="17"/>
    </w:p>
    <w:p w14:paraId="75E650C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6530" cy="2988310"/>
            <wp:effectExtent l="5080" t="4445" r="11430" b="9525"/>
            <wp:docPr id="11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AA309B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服务台考核指标为季度服务台派单成功率，计算方式为：【1-（退回的派单/派单总数）】*100%。目标值≥90%。</w:t>
      </w:r>
    </w:p>
    <w:p w14:paraId="69DDDFD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“季度派单成功率≥90%”的考核要求下，服务台工作质量稳步提升。截至2025年11月，各季度实际完成情况为：第一季度达成90%（基准线），第二季度增长至92%，第三季度进一步提升至95%。这一连续的上升曲线，直观反映了服务台在工单分类、路径指派及团队协同方面不断改进的成效。</w:t>
      </w:r>
    </w:p>
    <w:p w14:paraId="1E5A4527">
      <w:pPr>
        <w:pStyle w:val="28"/>
        <w:bidi w:val="0"/>
        <w:rPr>
          <w:rFonts w:hint="default"/>
          <w:lang w:val="en-US" w:eastAsia="zh-CN"/>
        </w:rPr>
      </w:pPr>
      <w:bookmarkStart w:id="18" w:name="_Toc31676"/>
      <w:r>
        <w:rPr>
          <w:rFonts w:hint="eastAsia"/>
          <w:lang w:val="en-US" w:eastAsia="zh-CN"/>
        </w:rPr>
        <w:t>结论与展望</w:t>
      </w:r>
      <w:bookmarkEnd w:id="18"/>
    </w:p>
    <w:p w14:paraId="7C3D28B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自制度实施以来，已初步建立起标准化、可追溯的服务管理体系，有效提升了事件响应速度与用户满意度。未来将继续深化PDCA循环管理，进一步优化流程、提升人员能力、强化系统支持，确保服务台持续高效运转，为运维服务提供坚实支撑。</w:t>
      </w:r>
    </w:p>
    <w:p w14:paraId="74B9A0EF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E8C5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B2C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"派单成功率"</c:f>
              <c:strCache>
                <c:ptCount val="1"/>
                <c:pt idx="0">
                  <c:v>派单成功率</c:v>
                </c:pt>
              </c:strCache>
            </c:strRef>
          </c:tx>
          <c:spPr>
            <a:ln w="28575" cap="rnd" cmpd="sng" algn="ctr">
              <a:solidFill>
                <a:schemeClr val="accent1"/>
              </a:solidFill>
              <a:prstDash val="solid"/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0.9</c:v>
                </c:pt>
                <c:pt idx="1">
                  <c:v>0.92</c:v>
                </c:pt>
                <c:pt idx="2">
                  <c:v>0.95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prstDash val="solid"/>
              <a:round/>
            </a:ln>
            <a:effectLst/>
          </c:spPr>
        </c:dropLines>
        <c:marker val="0"/>
        <c:smooth val="0"/>
        <c:axId val="395247009"/>
        <c:axId val="180777218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/>
                      </c:pt>
                    </c:strCache>
                  </c:strRef>
                </c:tx>
                <c:spPr>
                  <a:ln w="28575" cap="rnd" cmpd="sng" algn="ctr">
                    <a:solidFill>
                      <a:schemeClr val="accent2"/>
                    </a:solidFill>
                    <a:prstDash val="solid"/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0" vertOverflow="ellipsis" vert="horz" wrap="square" lIns="38100" tIns="19050" rIns="38100" bIns="19050" anchor="ctr" anchorCtr="1"/>
                    <a:lstStyle/>
                    <a:p>
                      <a:pPr>
                        <a:defRPr lang="zh-CN" sz="10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xmlns:c15="http://schemas.microsoft.com/office/drawing/2012/chart" uri="{CE6537A1-D6FC-4f65-9D91-7224C49458BB}">
                      <c15:layout/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prstDash val="solid"/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Sheet1!$A$2:$A$4</c15:sqref>
                        </c15:formulaRef>
                      </c:ext>
                    </c:extLst>
                    <c:strCache>
                      <c:ptCount val="3"/>
                      <c:pt idx="0">
                        <c:v>第一季度</c:v>
                      </c:pt>
                      <c:pt idx="1">
                        <c:v>第二季度</c:v>
                      </c:pt>
                      <c:pt idx="2">
                        <c:v>第三季度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</c15:ser>
            </c15:filteredLineSeries>
            <c15:filteredLine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/>
                      </c:pt>
                    </c:strCache>
                  </c:strRef>
                </c:tx>
                <c:spPr>
                  <a:ln w="28575" cap="rnd" cmpd="sng" algn="ctr">
                    <a:solidFill>
                      <a:schemeClr val="accent3"/>
                    </a:solidFill>
                    <a:prstDash val="solid"/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0" vertOverflow="ellipsis" vert="horz" wrap="square" lIns="38100" tIns="19050" rIns="38100" bIns="19050" anchor="ctr" anchorCtr="1"/>
                    <a:lstStyle/>
                    <a:p>
                      <a:pPr>
                        <a:defRPr lang="zh-CN" sz="10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xmlns:c15="http://schemas.microsoft.com/office/drawing/2012/chart" uri="{CE6537A1-D6FC-4f65-9D91-7224C49458BB}">
                      <c15:layout/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prstDash val="solid"/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Sheet1!$A$2:$A$4</c15:sqref>
                        </c15:formulaRef>
                      </c:ext>
                    </c:extLst>
                    <c:strCache>
                      <c:ptCount val="3"/>
                      <c:pt idx="0">
                        <c:v>第一季度</c:v>
                      </c:pt>
                      <c:pt idx="1">
                        <c:v>第二季度</c:v>
                      </c:pt>
                      <c:pt idx="2">
                        <c:v>第三季度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</c15:ser>
            </c15:filteredLineSeries>
          </c:ext>
        </c:extLst>
      </c:lineChart>
      <c:catAx>
        <c:axId val="395247009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季度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0777218"/>
        <c:crosses val="autoZero"/>
        <c:auto val="1"/>
        <c:lblAlgn val="ctr"/>
        <c:lblOffset val="100"/>
        <c:noMultiLvlLbl val="0"/>
      </c:catAx>
      <c:valAx>
        <c:axId val="180777218"/>
        <c:scaling>
          <c:orientation val="minMax"/>
          <c:max val="1"/>
          <c:min val="0.85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派单成功率（</a:t>
                </a:r>
                <a:r>
                  <a:rPr lang="en-US" altLang="zh-CN"/>
                  <a:t>%</a:t>
                </a:r>
                <a:r>
                  <a:t>）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%" sourceLinked="1"/>
        <c:majorTickMark val="none"/>
        <c:minorTickMark val="none"/>
        <c:tickLblPos val="nextTo"/>
        <c:spPr>
          <a:noFill/>
          <a:ln w="12700" cap="flat" cmpd="sng" algn="ctr">
            <a:noFill/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9524700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85ab4e7-6c15-48bd-8b7c-a482e1f6e7b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2033</Words>
  <Characters>2183</Characters>
  <Lines>0</Lines>
  <Paragraphs>0</Paragraphs>
  <TotalTime>0</TotalTime>
  <ScaleCrop>false</ScaleCrop>
  <LinksUpToDate>false</LinksUpToDate>
  <CharactersWithSpaces>2257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