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BAB465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4379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46BCA349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282"/>
      <w:r>
        <w:rPr>
          <w:rFonts w:hint="eastAsia"/>
          <w:lang w:val="en-US" w:eastAsia="zh-CN"/>
        </w:rPr>
        <w:t>最终软件库应用情况说明</w:t>
      </w:r>
      <w:bookmarkEnd w:id="1"/>
    </w:p>
    <w:p w14:paraId="1D4B1AE2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7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3B722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585E12F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69AFE0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7AB1C2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69EE8AE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131A3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  <w:tr w14:paraId="70A434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72B2E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6795DB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2025.11.30</w:t>
            </w:r>
          </w:p>
        </w:tc>
      </w:tr>
    </w:tbl>
    <w:p w14:paraId="6A38888C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59A5A45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39239F16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01E6421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267C1AD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24B11C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61024C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E2CA9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DAEFA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72C97C0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7608E8C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30</w:t>
            </w:r>
          </w:p>
        </w:tc>
        <w:tc>
          <w:tcPr>
            <w:tcW w:w="972" w:type="dxa"/>
          </w:tcPr>
          <w:p w14:paraId="739231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7A36F8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2B2F79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305A10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7BDF452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49BA727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7D339F9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027ADA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3AEA189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7434BE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4A0793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EA326B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296F42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5A525D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1D75CC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22635C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598FD2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5EBE44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3A91E3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4B5D3B1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4DE5CD9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E6B748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46537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7A711E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91C4FC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1A4D79E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135AD95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EBA82E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32A14E36">
          <w:pPr>
            <w:pStyle w:val="16"/>
            <w:tabs>
              <w:tab w:val="right" w:leader="dot" w:pos="8306"/>
            </w:tabs>
          </w:pPr>
          <w:bookmarkStart w:id="17" w:name="_GoBack"/>
          <w:bookmarkEnd w:id="17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_Toc4379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_Toc4379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F5875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最终软件库应用情况说明</w:t>
          </w:r>
          <w:r>
            <w:tab/>
          </w:r>
          <w:r>
            <w:fldChar w:fldCharType="begin"/>
          </w:r>
          <w:r>
            <w:instrText xml:space="preserve"> PAGEREF _Toc11282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EEE90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管理体系建设与职责落实情况</w:t>
          </w:r>
          <w:r>
            <w:tab/>
          </w:r>
          <w:r>
            <w:fldChar w:fldCharType="begin"/>
          </w:r>
          <w:r>
            <w:instrText xml:space="preserve"> PAGEREF _Toc10460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63861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_Toc17118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制度落地与规范明确</w:t>
          </w:r>
          <w:r>
            <w:tab/>
          </w:r>
          <w:r>
            <w:fldChar w:fldCharType="begin"/>
          </w:r>
          <w:r>
            <w:instrText xml:space="preserve"> PAGEREF _Toc17118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298B30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_Toc5989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跨部门职责协同机制建立</w:t>
          </w:r>
          <w:r>
            <w:tab/>
          </w:r>
          <w:r>
            <w:fldChar w:fldCharType="begin"/>
          </w:r>
          <w:r>
            <w:instrText xml:space="preserve"> PAGEREF _Toc5989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8EF48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_Toc30491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最终软件库运行机制与实施情况</w:t>
          </w:r>
          <w:r>
            <w:tab/>
          </w:r>
          <w:r>
            <w:fldChar w:fldCharType="begin"/>
          </w:r>
          <w:r>
            <w:instrText xml:space="preserve"> PAGEREF _Toc30491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C08D1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_Toc12617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2.1. 库体建设与分类存储</w:t>
          </w:r>
          <w:r>
            <w:tab/>
          </w:r>
          <w:r>
            <w:fldChar w:fldCharType="begin"/>
          </w:r>
          <w:r>
            <w:instrText xml:space="preserve"> PAGEREF _Toc12617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02899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_Toc25405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 核心流程闭环执行</w:t>
          </w:r>
          <w:r>
            <w:tab/>
          </w:r>
          <w:r>
            <w:fldChar w:fldCharType="begin"/>
          </w:r>
          <w:r>
            <w:instrText xml:space="preserve"> PAGEREF _Toc25405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75C2FA6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_Toc9877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2.2.1. 软件入库流程</w:t>
          </w:r>
          <w:r>
            <w:tab/>
          </w:r>
          <w:r>
            <w:fldChar w:fldCharType="begin"/>
          </w:r>
          <w:r>
            <w:instrText xml:space="preserve"> PAGEREF _Toc9877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9F23B2A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_Toc8420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2.2.2. 软件出库与发布控制</w:t>
          </w:r>
          <w:r>
            <w:tab/>
          </w:r>
          <w:r>
            <w:fldChar w:fldCharType="begin"/>
          </w:r>
          <w:r>
            <w:instrText xml:space="preserve"> PAGEREF _Toc8420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D1D4A83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2.2.3. 安全与访问控制</w:t>
          </w:r>
          <w:r>
            <w:tab/>
          </w:r>
          <w:r>
            <w:fldChar w:fldCharType="begin"/>
          </w:r>
          <w:r>
            <w:instrText xml:space="preserve"> PAGEREF _Toc13603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F93A3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_Toc15950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考核指标达成与审计改进情况</w:t>
          </w:r>
          <w:r>
            <w:tab/>
          </w:r>
          <w:r>
            <w:fldChar w:fldCharType="begin"/>
          </w:r>
          <w:r>
            <w:instrText xml:space="preserve"> PAGEREF _Toc15950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477FD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_Toc8899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备份与恢复保障</w:t>
          </w:r>
          <w:r>
            <w:tab/>
          </w:r>
          <w:r>
            <w:fldChar w:fldCharType="begin"/>
          </w:r>
          <w:r>
            <w:instrText xml:space="preserve"> PAGEREF _Toc8899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C79AA7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_Toc16500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实施成效与后续计划</w:t>
          </w:r>
          <w:r>
            <w:tab/>
          </w:r>
          <w:r>
            <w:fldChar w:fldCharType="begin"/>
          </w:r>
          <w:r>
            <w:instrText xml:space="preserve"> PAGEREF _Toc16500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4ABCD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_Toc25959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5.1. 主要成效</w:t>
          </w:r>
          <w:r>
            <w:tab/>
          </w:r>
          <w:r>
            <w:fldChar w:fldCharType="begin"/>
          </w:r>
          <w:r>
            <w:instrText xml:space="preserve"> PAGEREF _Toc25959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4469B0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5.2. 持续优化方向</w:t>
          </w:r>
          <w:r>
            <w:tab/>
          </w:r>
          <w:r>
            <w:fldChar w:fldCharType="begin"/>
          </w:r>
          <w:r>
            <w:instrText xml:space="preserve"> PAGEREF _Toc7914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E47A3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_Toc20982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总结</w:t>
          </w:r>
          <w:r>
            <w:tab/>
          </w:r>
          <w:r>
            <w:fldChar w:fldCharType="begin"/>
          </w:r>
          <w:r>
            <w:instrText xml:space="preserve"> PAGEREF _Toc20982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3E2AD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DA3FE0F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721C78E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贯彻落实《最终软件库管理制度》（文件编号：JXTX-08-05），实现对生产环境软件资产的规范化、安全化与全生命周期管理，确保软件版本统一、可靠、可追溯，公司自制度发布以来，已系统性地推进并完成了最终软件库的建设与运营工作。截至2025年11月</w:t>
      </w:r>
      <w:r>
        <w:rPr>
          <w:rFonts w:hint="eastAsia"/>
          <w:lang w:val="en-US" w:eastAsia="zh-CN"/>
        </w:rPr>
        <w:t>，取得了良好效果。</w:t>
      </w:r>
    </w:p>
    <w:p w14:paraId="62685C5C">
      <w:pPr>
        <w:pStyle w:val="28"/>
        <w:bidi w:val="0"/>
        <w:rPr>
          <w:rFonts w:hint="default"/>
          <w:lang w:val="en-US" w:eastAsia="zh-CN"/>
        </w:rPr>
      </w:pPr>
      <w:bookmarkStart w:id="2" w:name="_Toc10460"/>
      <w:r>
        <w:rPr>
          <w:rFonts w:hint="default"/>
          <w:lang w:val="en-US" w:eastAsia="zh-CN"/>
        </w:rPr>
        <w:t>管理体系建设与职责落实情况</w:t>
      </w:r>
      <w:bookmarkEnd w:id="2"/>
    </w:p>
    <w:p w14:paraId="69E19F61">
      <w:pPr>
        <w:pStyle w:val="30"/>
        <w:bidi w:val="0"/>
        <w:rPr>
          <w:rFonts w:hint="default"/>
          <w:lang w:val="en-US" w:eastAsia="zh-CN"/>
        </w:rPr>
      </w:pPr>
      <w:bookmarkStart w:id="3" w:name="_Toc17118"/>
      <w:r>
        <w:rPr>
          <w:rFonts w:hint="default"/>
          <w:lang w:val="en-US" w:eastAsia="zh-CN"/>
        </w:rPr>
        <w:t>制度落地与规范明确</w:t>
      </w:r>
      <w:bookmarkEnd w:id="3"/>
    </w:p>
    <w:p w14:paraId="0E91F25B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已依据制度要求，完成最终软件库的规划设计，明确了软件资产从“开发测试→申请入库→审批验证→归档存储→授权出库→版本回溯”的端到端管理流程，并制定了配套的《软件入库申请表》及操作细则。</w:t>
      </w:r>
    </w:p>
    <w:p w14:paraId="6F6384AF">
      <w:pPr>
        <w:pStyle w:val="30"/>
        <w:bidi w:val="0"/>
        <w:rPr>
          <w:rFonts w:hint="default"/>
          <w:lang w:val="en-US" w:eastAsia="zh-CN"/>
        </w:rPr>
      </w:pPr>
      <w:bookmarkStart w:id="4" w:name="_Toc5989"/>
      <w:r>
        <w:rPr>
          <w:rFonts w:hint="default"/>
          <w:lang w:val="en-US" w:eastAsia="zh-CN"/>
        </w:rPr>
        <w:t>跨部门职责协同机制建立</w:t>
      </w:r>
      <w:bookmarkEnd w:id="4"/>
    </w:p>
    <w:p w14:paraId="7F294C8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数智运营部作为归口管理部门，已负责完成软件库的搭建、日常维护及流程管控。</w:t>
      </w:r>
    </w:p>
    <w:p w14:paraId="395C9E54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质量管理部与研究总院的职责接口已清晰界定，形成了“研发提交-测试验证-运维入库”的协同工作流。</w:t>
      </w:r>
    </w:p>
    <w:p w14:paraId="1BA959C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运维工程师作为关键执行角色，已落实软件的具体入库、出库、版本标签管理及日志记录职责。</w:t>
      </w:r>
    </w:p>
    <w:p w14:paraId="1B2BF773">
      <w:pPr>
        <w:pStyle w:val="28"/>
        <w:bidi w:val="0"/>
        <w:rPr>
          <w:rFonts w:hint="default"/>
          <w:lang w:val="en-US" w:eastAsia="zh-CN"/>
        </w:rPr>
      </w:pPr>
      <w:bookmarkStart w:id="5" w:name="_Toc30491"/>
      <w:r>
        <w:rPr>
          <w:rFonts w:hint="default"/>
          <w:lang w:val="en-US" w:eastAsia="zh-CN"/>
        </w:rPr>
        <w:t>最终软件库运行机制与实施情况</w:t>
      </w:r>
      <w:bookmarkEnd w:id="5"/>
    </w:p>
    <w:p w14:paraId="219ECE96">
      <w:pPr>
        <w:pStyle w:val="30"/>
        <w:bidi w:val="0"/>
        <w:rPr>
          <w:rFonts w:hint="default"/>
          <w:lang w:val="en-US" w:eastAsia="zh-CN"/>
        </w:rPr>
      </w:pPr>
      <w:bookmarkStart w:id="6" w:name="_Toc12617"/>
      <w:r>
        <w:rPr>
          <w:rFonts w:hint="default"/>
          <w:lang w:val="en-US" w:eastAsia="zh-CN"/>
        </w:rPr>
        <w:t>库体建设与分类存储</w:t>
      </w:r>
      <w:bookmarkEnd w:id="6"/>
    </w:p>
    <w:p w14:paraId="7FD9EB4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已建立集中、受控的最终软件库存储体系（基于专用存储服务器或版本控制系统），严格按照制度定义的范畴，对系统软件、应用软件、脚本及配置文件等进行分类存储，确保物理与逻辑结构清晰。</w:t>
      </w:r>
    </w:p>
    <w:p w14:paraId="63EFA102">
      <w:pPr>
        <w:pStyle w:val="30"/>
        <w:bidi w:val="0"/>
        <w:rPr>
          <w:rFonts w:hint="default"/>
          <w:lang w:val="en-US" w:eastAsia="zh-CN"/>
        </w:rPr>
      </w:pPr>
      <w:bookmarkStart w:id="7" w:name="_Toc25405"/>
      <w:r>
        <w:rPr>
          <w:rFonts w:hint="default"/>
          <w:lang w:val="en-US" w:eastAsia="zh-CN"/>
        </w:rPr>
        <w:t>核心流程闭环执行</w:t>
      </w:r>
      <w:bookmarkEnd w:id="7"/>
    </w:p>
    <w:p w14:paraId="5A892F63">
      <w:pPr>
        <w:pStyle w:val="31"/>
        <w:bidi w:val="0"/>
        <w:rPr>
          <w:rFonts w:hint="default"/>
          <w:lang w:val="en-US" w:eastAsia="zh-CN"/>
        </w:rPr>
      </w:pPr>
      <w:bookmarkStart w:id="8" w:name="_Toc9877"/>
      <w:r>
        <w:rPr>
          <w:rFonts w:hint="default"/>
          <w:lang w:val="en-US" w:eastAsia="zh-CN"/>
        </w:rPr>
        <w:t>软件入库流程</w:t>
      </w:r>
      <w:bookmarkEnd w:id="8"/>
    </w:p>
    <w:p w14:paraId="3E09517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所有拟上线生产环境的软件版本，均严格执行“申请-测试-审批-入库”流程。截至11月，累计完成</w:t>
      </w:r>
      <w:r>
        <w:rPr>
          <w:rFonts w:hint="eastAsia"/>
          <w:lang w:val="en-US" w:eastAsia="zh-CN"/>
        </w:rPr>
        <w:t>8</w:t>
      </w:r>
      <w:r>
        <w:rPr>
          <w:rFonts w:hint="default"/>
          <w:lang w:val="en-US" w:eastAsia="zh-CN"/>
        </w:rPr>
        <w:t>次重要软件版本（含补丁）的合规入库，入库资料完整，版本标识唯一。</w:t>
      </w:r>
    </w:p>
    <w:p w14:paraId="54A59133">
      <w:pPr>
        <w:pStyle w:val="31"/>
        <w:bidi w:val="0"/>
        <w:rPr>
          <w:rFonts w:hint="default"/>
          <w:lang w:val="en-US" w:eastAsia="zh-CN"/>
        </w:rPr>
      </w:pPr>
      <w:bookmarkStart w:id="9" w:name="_Toc8420"/>
      <w:r>
        <w:rPr>
          <w:rFonts w:hint="default"/>
          <w:lang w:val="en-US" w:eastAsia="zh-CN"/>
        </w:rPr>
        <w:t>软件出库与发布控制</w:t>
      </w:r>
      <w:bookmarkEnd w:id="9"/>
    </w:p>
    <w:p w14:paraId="7629EB3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生产环境的所有软件部署与升级，均来源于最终软件库，并通过出库申请与审批记录实现发布溯源，有效杜绝了未经授权的软件变更。</w:t>
      </w:r>
    </w:p>
    <w:p w14:paraId="6C2D08D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版本控制与历史存档：严格遵循“禁止覆盖更新”原则，所有历史版本均得以保留，确保了在必要时可快速、准确地进行版本回退或问题追溯。</w:t>
      </w:r>
    </w:p>
    <w:p w14:paraId="27995C0A">
      <w:pPr>
        <w:pStyle w:val="31"/>
        <w:bidi w:val="0"/>
        <w:rPr>
          <w:rFonts w:hint="default"/>
          <w:lang w:val="en-US" w:eastAsia="zh-CN"/>
        </w:rPr>
      </w:pPr>
      <w:bookmarkStart w:id="10" w:name="_Toc13603"/>
      <w:r>
        <w:rPr>
          <w:rFonts w:hint="default"/>
          <w:lang w:val="en-US" w:eastAsia="zh-CN"/>
        </w:rPr>
        <w:t>安全与访问控制</w:t>
      </w:r>
      <w:bookmarkEnd w:id="10"/>
    </w:p>
    <w:p w14:paraId="026F5EE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权限分级管理：已依据制度定义的“运维工程师、开发人员、测试人员、运维人员”等角色，配置了差异化的“读、写、发布、管理”权限，遵循最小权限原则。</w:t>
      </w:r>
    </w:p>
    <w:p w14:paraId="0F24A33E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操作审计常态化：启用了完整的操作日志功能，记录所有访问、上传、下载行为。运维工程师按月审查日志，数智运营部按季进行权限合规性评审，安全管理机制运行有效。</w:t>
      </w:r>
    </w:p>
    <w:p w14:paraId="63C05837">
      <w:pPr>
        <w:pStyle w:val="28"/>
        <w:bidi w:val="0"/>
        <w:rPr>
          <w:rFonts w:hint="default"/>
          <w:lang w:val="en-US" w:eastAsia="zh-CN"/>
        </w:rPr>
      </w:pPr>
      <w:bookmarkStart w:id="11" w:name="_Toc15950"/>
      <w:r>
        <w:rPr>
          <w:rFonts w:hint="default"/>
          <w:lang w:val="en-US" w:eastAsia="zh-CN"/>
        </w:rPr>
        <w:t>考核指标达成与审计改进情况</w:t>
      </w:r>
      <w:bookmarkEnd w:id="11"/>
    </w:p>
    <w:p w14:paraId="5893F0D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制度设定的核心考核指标为“软件合规性审计次数”，目标为每半年不少于1次。</w:t>
      </w:r>
    </w:p>
    <w:p w14:paraId="1CB73DC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2025年上半年审计：已于6月完成首次最终软件库全面合规性审计，审计范围涵盖库存软件合规性、流程执行符合度、权限设置合理性及备份有效性，并形成了书面审计报告。针对审计中发现的部分流程记录细节问题，已完成整改。</w:t>
      </w:r>
    </w:p>
    <w:p w14:paraId="48779272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持续改进机制：根据首次审计结论及日常操作反馈，已对《软件入库申请表》模板及部分操作指引进行了优化，管理流程持续完善。</w:t>
      </w:r>
    </w:p>
    <w:p w14:paraId="04B26102">
      <w:pPr>
        <w:pStyle w:val="28"/>
        <w:bidi w:val="0"/>
        <w:rPr>
          <w:rFonts w:hint="default"/>
          <w:lang w:val="en-US" w:eastAsia="zh-CN"/>
        </w:rPr>
      </w:pPr>
      <w:bookmarkStart w:id="12" w:name="_Toc8899"/>
      <w:r>
        <w:rPr>
          <w:rFonts w:hint="default"/>
          <w:lang w:val="en-US" w:eastAsia="zh-CN"/>
        </w:rPr>
        <w:t>备份与恢复保障</w:t>
      </w:r>
      <w:bookmarkEnd w:id="12"/>
    </w:p>
    <w:p w14:paraId="3D7CEFD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建立并执行严格的备份策略，对最终软件库实施每月全量备份与每周增量备份，备份数据异地保存。已于2025年下半年成功组织了一次备份恢复演练，验证了备份数据的完整性与可恢复性，保障了软件资产的安全底线。</w:t>
      </w:r>
    </w:p>
    <w:p w14:paraId="134FBC41">
      <w:pPr>
        <w:pStyle w:val="28"/>
        <w:bidi w:val="0"/>
        <w:rPr>
          <w:rFonts w:hint="default"/>
          <w:lang w:val="en-US" w:eastAsia="zh-CN"/>
        </w:rPr>
      </w:pPr>
      <w:bookmarkStart w:id="13" w:name="_Toc16500"/>
      <w:r>
        <w:rPr>
          <w:rFonts w:hint="default"/>
          <w:lang w:val="en-US" w:eastAsia="zh-CN"/>
        </w:rPr>
        <w:t>实施成效与后续计划</w:t>
      </w:r>
      <w:bookmarkEnd w:id="13"/>
    </w:p>
    <w:p w14:paraId="295DB20A">
      <w:pPr>
        <w:pStyle w:val="30"/>
        <w:bidi w:val="0"/>
        <w:rPr>
          <w:rFonts w:hint="default"/>
          <w:lang w:val="en-US" w:eastAsia="zh-CN"/>
        </w:rPr>
      </w:pPr>
      <w:bookmarkStart w:id="14" w:name="_Toc25959"/>
      <w:r>
        <w:rPr>
          <w:rFonts w:hint="default"/>
          <w:lang w:val="en-US" w:eastAsia="zh-CN"/>
        </w:rPr>
        <w:t>主要成效</w:t>
      </w:r>
      <w:bookmarkEnd w:id="14"/>
    </w:p>
    <w:p w14:paraId="3313C64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版本一致性得到保障：生产环境软件来源唯一，彻底解决了以往因版本混乱导致的部署差异问题。</w:t>
      </w:r>
    </w:p>
    <w:p w14:paraId="1819EF6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安全性与合规性提升：通过严格的权限与流程控制，显著降低了软件被非法篡改或误操作的风险。</w:t>
      </w:r>
    </w:p>
    <w:p w14:paraId="146842C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运维效率与可追溯性增强：标准化的入库、出库流程与完善的版本历史，极大提升了软件部署、升级与故障排查的效率。</w:t>
      </w:r>
    </w:p>
    <w:p w14:paraId="5A7FB8C6">
      <w:pPr>
        <w:pStyle w:val="30"/>
        <w:bidi w:val="0"/>
        <w:rPr>
          <w:rFonts w:hint="default"/>
          <w:lang w:val="en-US" w:eastAsia="zh-CN"/>
        </w:rPr>
      </w:pPr>
      <w:bookmarkStart w:id="15" w:name="_Toc7914"/>
      <w:r>
        <w:rPr>
          <w:rFonts w:hint="default"/>
          <w:lang w:val="en-US" w:eastAsia="zh-CN"/>
        </w:rPr>
        <w:t>持续优化方向</w:t>
      </w:r>
      <w:bookmarkEnd w:id="15"/>
    </w:p>
    <w:p w14:paraId="320119F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计划引入更先进的软件资产管理与生命周期（SCM）工具，进一步提升自动化管理与可视化水平。</w:t>
      </w:r>
    </w:p>
    <w:p w14:paraId="39AD48A9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将结合项目实践，细化对开源软件组件、第三方商业软件的许可证与漏洞管理要求。</w:t>
      </w:r>
    </w:p>
    <w:p w14:paraId="5486431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定期开展制度与流程培训，强化全员对最终软件库重要性的认知与合规操作意识。</w:t>
      </w:r>
    </w:p>
    <w:p w14:paraId="09676544">
      <w:pPr>
        <w:pStyle w:val="28"/>
        <w:bidi w:val="0"/>
        <w:rPr>
          <w:rFonts w:hint="default"/>
          <w:lang w:val="en-US" w:eastAsia="zh-CN"/>
        </w:rPr>
      </w:pPr>
      <w:bookmarkStart w:id="16" w:name="_Toc20982"/>
      <w:r>
        <w:rPr>
          <w:rFonts w:hint="default"/>
          <w:lang w:val="en-US" w:eastAsia="zh-CN"/>
        </w:rPr>
        <w:t>总结</w:t>
      </w:r>
      <w:bookmarkEnd w:id="16"/>
    </w:p>
    <w:p w14:paraId="61B22E2F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目前，《最终软件库管理制度》已得到有效执行，相关的管理体系、技术平台与操作流程均已建立并稳定运行。最终软件库作为公司核心软件资产的“单一可信源”，在保障系统稳定、提升运维规范性及满足安全合规要求方面，正发挥日益关键的基础支撑作用。未来，数智运营部将继续牵头，推动该体系的持续优化与深入应用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544ECB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80527F1"/>
    <w:rsid w:val="62C72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1869</Words>
  <Characters>1985</Characters>
  <Lines>0</Lines>
  <Paragraphs>0</Paragraphs>
  <TotalTime>2</TotalTime>
  <ScaleCrop>false</ScaleCrop>
  <LinksUpToDate>false</LinksUpToDate>
  <CharactersWithSpaces>2051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2026-02-05T00:02:41Z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