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BE8A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00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1404A1A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426"/>
      <w:r>
        <w:rPr>
          <w:rFonts w:hint="eastAsia"/>
          <w:lang w:val="en-US" w:eastAsia="zh-CN"/>
        </w:rPr>
        <w:t>服务数据应用情况说明</w:t>
      </w:r>
      <w:bookmarkEnd w:id="1"/>
    </w:p>
    <w:p w14:paraId="4881977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54FF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8867D6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1EFDC68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B727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A19B1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382BB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6C1D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B18AA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1E518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53C2369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419AA7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11964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CAB044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5D070D3">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15E7AB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BDD530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5728CE2">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C605C3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4C367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0F3B41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551F830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A72481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1D63FF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21A52A9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2820DB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8019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AE0257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D8E305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6A13DE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AF07FD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AA722E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1D8B65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52492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CB104F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624DAB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9A097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D85FC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73A15A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BB4427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9A84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38B560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634076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28E311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978E1A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44F78A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26CF49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DCB16B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5DE9DD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F624FB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_Toc15007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_Toc15007 \h </w:instrText>
          </w:r>
          <w:r>
            <w:fldChar w:fldCharType="separate"/>
          </w:r>
          <w:r>
            <w:t>1</w:t>
          </w:r>
          <w:r>
            <w:fldChar w:fldCharType="end"/>
          </w:r>
          <w:r>
            <w:rPr>
              <w:rFonts w:hint="eastAsia" w:ascii="宋体" w:hAnsi="宋体" w:eastAsia="宋体" w:cs="宋体"/>
              <w:szCs w:val="24"/>
            </w:rPr>
            <w:fldChar w:fldCharType="end"/>
          </w:r>
        </w:p>
        <w:p w14:paraId="16C845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_Toc23426 </w:instrText>
          </w:r>
          <w:r>
            <w:rPr>
              <w:rFonts w:hint="eastAsia" w:ascii="宋体" w:hAnsi="宋体" w:eastAsia="宋体" w:cs="宋体"/>
              <w:szCs w:val="24"/>
            </w:rPr>
            <w:fldChar w:fldCharType="separate"/>
          </w:r>
          <w:r>
            <w:rPr>
              <w:rFonts w:hint="eastAsia"/>
              <w:lang w:val="en-US" w:eastAsia="zh-CN"/>
            </w:rPr>
            <w:t>服务数据应用情况说明</w:t>
          </w:r>
          <w:r>
            <w:tab/>
          </w:r>
          <w:r>
            <w:fldChar w:fldCharType="begin"/>
          </w:r>
          <w:r>
            <w:instrText xml:space="preserve"> PAGEREF _Toc23426 \h </w:instrText>
          </w:r>
          <w:r>
            <w:fldChar w:fldCharType="separate"/>
          </w:r>
          <w:r>
            <w:t>1</w:t>
          </w:r>
          <w:r>
            <w:fldChar w:fldCharType="end"/>
          </w:r>
          <w:r>
            <w:rPr>
              <w:rFonts w:hint="eastAsia" w:ascii="宋体" w:hAnsi="宋体" w:eastAsia="宋体" w:cs="宋体"/>
              <w:szCs w:val="24"/>
            </w:rPr>
            <w:fldChar w:fldCharType="end"/>
          </w:r>
        </w:p>
        <w:p w14:paraId="4B073B6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_Toc5044 </w:instrText>
          </w:r>
          <w:r>
            <w:rPr>
              <w:rFonts w:hint="eastAsia" w:ascii="宋体" w:hAnsi="宋体" w:eastAsia="宋体" w:cs="宋体"/>
              <w:szCs w:val="24"/>
            </w:rPr>
            <w:fldChar w:fldCharType="separate"/>
          </w:r>
          <w:r>
            <w:rPr>
              <w:rFonts w:hint="default"/>
              <w:lang w:val="en-US" w:eastAsia="zh-CN"/>
            </w:rPr>
            <w:t>1. 管理体系构建与职责落地</w:t>
          </w:r>
          <w:r>
            <w:tab/>
          </w:r>
          <w:r>
            <w:fldChar w:fldCharType="begin"/>
          </w:r>
          <w:r>
            <w:instrText xml:space="preserve"> PAGEREF _Toc5044 \h </w:instrText>
          </w:r>
          <w:r>
            <w:fldChar w:fldCharType="separate"/>
          </w:r>
          <w:r>
            <w:t>4</w:t>
          </w:r>
          <w:r>
            <w:fldChar w:fldCharType="end"/>
          </w:r>
          <w:r>
            <w:rPr>
              <w:rFonts w:hint="eastAsia" w:ascii="宋体" w:hAnsi="宋体" w:eastAsia="宋体" w:cs="宋体"/>
              <w:szCs w:val="24"/>
            </w:rPr>
            <w:fldChar w:fldCharType="end"/>
          </w:r>
        </w:p>
        <w:p w14:paraId="5172C3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_Toc8058 </w:instrText>
          </w:r>
          <w:r>
            <w:rPr>
              <w:rFonts w:hint="eastAsia" w:ascii="宋体" w:hAnsi="宋体" w:eastAsia="宋体" w:cs="宋体"/>
              <w:szCs w:val="24"/>
            </w:rPr>
            <w:fldChar w:fldCharType="separate"/>
          </w:r>
          <w:r>
            <w:rPr>
              <w:rFonts w:hint="default"/>
              <w:lang w:val="en-US" w:eastAsia="zh-CN"/>
            </w:rPr>
            <w:t>1.1. 制度与流程确立</w:t>
          </w:r>
          <w:r>
            <w:tab/>
          </w:r>
          <w:r>
            <w:fldChar w:fldCharType="begin"/>
          </w:r>
          <w:r>
            <w:instrText xml:space="preserve"> PAGEREF _Toc8058 \h </w:instrText>
          </w:r>
          <w:r>
            <w:fldChar w:fldCharType="separate"/>
          </w:r>
          <w:r>
            <w:t>4</w:t>
          </w:r>
          <w:r>
            <w:fldChar w:fldCharType="end"/>
          </w:r>
          <w:r>
            <w:rPr>
              <w:rFonts w:hint="eastAsia" w:ascii="宋体" w:hAnsi="宋体" w:eastAsia="宋体" w:cs="宋体"/>
              <w:szCs w:val="24"/>
            </w:rPr>
            <w:fldChar w:fldCharType="end"/>
          </w:r>
        </w:p>
        <w:p w14:paraId="32105C4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_Toc4167 </w:instrText>
          </w:r>
          <w:r>
            <w:rPr>
              <w:rFonts w:hint="eastAsia" w:ascii="宋体" w:hAnsi="宋体" w:eastAsia="宋体" w:cs="宋体"/>
              <w:szCs w:val="24"/>
            </w:rPr>
            <w:fldChar w:fldCharType="separate"/>
          </w:r>
          <w:r>
            <w:rPr>
              <w:rFonts w:hint="default"/>
              <w:lang w:val="en-US" w:eastAsia="zh-CN"/>
            </w:rPr>
            <w:t>1.2. 跨部门协同机制运行</w:t>
          </w:r>
          <w:r>
            <w:tab/>
          </w:r>
          <w:r>
            <w:fldChar w:fldCharType="begin"/>
          </w:r>
          <w:r>
            <w:instrText xml:space="preserve"> PAGEREF _Toc4167 \h </w:instrText>
          </w:r>
          <w:r>
            <w:fldChar w:fldCharType="separate"/>
          </w:r>
          <w:r>
            <w:t>4</w:t>
          </w:r>
          <w:r>
            <w:fldChar w:fldCharType="end"/>
          </w:r>
          <w:r>
            <w:rPr>
              <w:rFonts w:hint="eastAsia" w:ascii="宋体" w:hAnsi="宋体" w:eastAsia="宋体" w:cs="宋体"/>
              <w:szCs w:val="24"/>
            </w:rPr>
            <w:fldChar w:fldCharType="end"/>
          </w:r>
        </w:p>
        <w:p w14:paraId="3F67440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_Toc11759 </w:instrText>
          </w:r>
          <w:r>
            <w:rPr>
              <w:rFonts w:hint="eastAsia" w:ascii="宋体" w:hAnsi="宋体" w:eastAsia="宋体" w:cs="宋体"/>
              <w:szCs w:val="24"/>
            </w:rPr>
            <w:fldChar w:fldCharType="separate"/>
          </w:r>
          <w:r>
            <w:rPr>
              <w:rFonts w:hint="default"/>
              <w:lang w:val="en-US" w:eastAsia="zh-CN"/>
            </w:rPr>
            <w:t>2. 服务数据管理全流程实施情况</w:t>
          </w:r>
          <w:r>
            <w:tab/>
          </w:r>
          <w:r>
            <w:fldChar w:fldCharType="begin"/>
          </w:r>
          <w:r>
            <w:instrText xml:space="preserve"> PAGEREF _Toc11759 \h </w:instrText>
          </w:r>
          <w:r>
            <w:fldChar w:fldCharType="separate"/>
          </w:r>
          <w:r>
            <w:t>4</w:t>
          </w:r>
          <w:r>
            <w:fldChar w:fldCharType="end"/>
          </w:r>
          <w:r>
            <w:rPr>
              <w:rFonts w:hint="eastAsia" w:ascii="宋体" w:hAnsi="宋体" w:eastAsia="宋体" w:cs="宋体"/>
              <w:szCs w:val="24"/>
            </w:rPr>
            <w:fldChar w:fldCharType="end"/>
          </w:r>
        </w:p>
        <w:p w14:paraId="17F67C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_Toc16251 </w:instrText>
          </w:r>
          <w:r>
            <w:rPr>
              <w:rFonts w:hint="eastAsia" w:ascii="宋体" w:hAnsi="宋体" w:eastAsia="宋体" w:cs="宋体"/>
              <w:szCs w:val="24"/>
            </w:rPr>
            <w:fldChar w:fldCharType="separate"/>
          </w:r>
          <w:r>
            <w:rPr>
              <w:rFonts w:hint="default"/>
              <w:lang w:val="en-US" w:eastAsia="zh-CN"/>
            </w:rPr>
            <w:t>2.1. 数据识别与规范化采集</w:t>
          </w:r>
          <w:r>
            <w:tab/>
          </w:r>
          <w:r>
            <w:fldChar w:fldCharType="begin"/>
          </w:r>
          <w:r>
            <w:instrText xml:space="preserve"> PAGEREF _Toc16251 \h </w:instrText>
          </w:r>
          <w:r>
            <w:fldChar w:fldCharType="separate"/>
          </w:r>
          <w:r>
            <w:t>4</w:t>
          </w:r>
          <w:r>
            <w:fldChar w:fldCharType="end"/>
          </w:r>
          <w:r>
            <w:rPr>
              <w:rFonts w:hint="eastAsia" w:ascii="宋体" w:hAnsi="宋体" w:eastAsia="宋体" w:cs="宋体"/>
              <w:szCs w:val="24"/>
            </w:rPr>
            <w:fldChar w:fldCharType="end"/>
          </w:r>
        </w:p>
        <w:p w14:paraId="1BC536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_Toc23359 </w:instrText>
          </w:r>
          <w:r>
            <w:rPr>
              <w:rFonts w:hint="eastAsia" w:ascii="宋体" w:hAnsi="宋体" w:eastAsia="宋体" w:cs="宋体"/>
              <w:szCs w:val="24"/>
            </w:rPr>
            <w:fldChar w:fldCharType="separate"/>
          </w:r>
          <w:r>
            <w:rPr>
              <w:rFonts w:hint="default"/>
              <w:lang w:val="en-US" w:eastAsia="zh-CN"/>
            </w:rPr>
            <w:t>2.2. 数据存储、安全与质量保障</w:t>
          </w:r>
          <w:r>
            <w:tab/>
          </w:r>
          <w:r>
            <w:fldChar w:fldCharType="begin"/>
          </w:r>
          <w:r>
            <w:instrText xml:space="preserve"> PAGEREF _Toc23359 \h </w:instrText>
          </w:r>
          <w:r>
            <w:fldChar w:fldCharType="separate"/>
          </w:r>
          <w:r>
            <w:t>4</w:t>
          </w:r>
          <w:r>
            <w:fldChar w:fldCharType="end"/>
          </w:r>
          <w:r>
            <w:rPr>
              <w:rFonts w:hint="eastAsia" w:ascii="宋体" w:hAnsi="宋体" w:eastAsia="宋体" w:cs="宋体"/>
              <w:szCs w:val="24"/>
            </w:rPr>
            <w:fldChar w:fldCharType="end"/>
          </w:r>
        </w:p>
        <w:p w14:paraId="0B22F8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_Toc9968 </w:instrText>
          </w:r>
          <w:r>
            <w:rPr>
              <w:rFonts w:hint="eastAsia" w:ascii="宋体" w:hAnsi="宋体" w:eastAsia="宋体" w:cs="宋体"/>
              <w:szCs w:val="24"/>
            </w:rPr>
            <w:fldChar w:fldCharType="separate"/>
          </w:r>
          <w:r>
            <w:rPr>
              <w:rFonts w:hint="default"/>
              <w:lang w:val="en-US" w:eastAsia="zh-CN"/>
            </w:rPr>
            <w:t>2.3. 数据处理、分析与应用深化</w:t>
          </w:r>
          <w:r>
            <w:tab/>
          </w:r>
          <w:r>
            <w:fldChar w:fldCharType="begin"/>
          </w:r>
          <w:r>
            <w:instrText xml:space="preserve"> PAGEREF _Toc9968 \h </w:instrText>
          </w:r>
          <w:r>
            <w:fldChar w:fldCharType="separate"/>
          </w:r>
          <w:r>
            <w:t>5</w:t>
          </w:r>
          <w:r>
            <w:fldChar w:fldCharType="end"/>
          </w:r>
          <w:r>
            <w:rPr>
              <w:rFonts w:hint="eastAsia" w:ascii="宋体" w:hAnsi="宋体" w:eastAsia="宋体" w:cs="宋体"/>
              <w:szCs w:val="24"/>
            </w:rPr>
            <w:fldChar w:fldCharType="end"/>
          </w:r>
        </w:p>
        <w:p w14:paraId="0974BB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_Toc30293 </w:instrText>
          </w:r>
          <w:r>
            <w:rPr>
              <w:rFonts w:hint="eastAsia" w:ascii="宋体" w:hAnsi="宋体" w:eastAsia="宋体" w:cs="宋体"/>
              <w:szCs w:val="24"/>
            </w:rPr>
            <w:fldChar w:fldCharType="separate"/>
          </w:r>
          <w:r>
            <w:rPr>
              <w:rFonts w:hint="default"/>
              <w:lang w:val="en-US" w:eastAsia="zh-CN"/>
            </w:rPr>
            <w:t>3. 考核指标达成情况</w:t>
          </w:r>
          <w:r>
            <w:tab/>
          </w:r>
          <w:r>
            <w:fldChar w:fldCharType="begin"/>
          </w:r>
          <w:r>
            <w:instrText xml:space="preserve"> PAGEREF _Toc30293 \h </w:instrText>
          </w:r>
          <w:r>
            <w:fldChar w:fldCharType="separate"/>
          </w:r>
          <w:r>
            <w:t>5</w:t>
          </w:r>
          <w:r>
            <w:fldChar w:fldCharType="end"/>
          </w:r>
          <w:r>
            <w:rPr>
              <w:rFonts w:hint="eastAsia" w:ascii="宋体" w:hAnsi="宋体" w:eastAsia="宋体" w:cs="宋体"/>
              <w:szCs w:val="24"/>
            </w:rPr>
            <w:fldChar w:fldCharType="end"/>
          </w:r>
        </w:p>
        <w:p w14:paraId="2F7D02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_Toc619 </w:instrText>
          </w:r>
          <w:r>
            <w:rPr>
              <w:rFonts w:hint="eastAsia" w:ascii="宋体" w:hAnsi="宋体" w:eastAsia="宋体" w:cs="宋体"/>
              <w:szCs w:val="24"/>
            </w:rPr>
            <w:fldChar w:fldCharType="separate"/>
          </w:r>
          <w:r>
            <w:rPr>
              <w:rFonts w:hint="default"/>
              <w:lang w:val="en-US" w:eastAsia="zh-CN"/>
            </w:rPr>
            <w:t>4. 实施成效与后续优化方向</w:t>
          </w:r>
          <w:r>
            <w:tab/>
          </w:r>
          <w:r>
            <w:fldChar w:fldCharType="begin"/>
          </w:r>
          <w:r>
            <w:instrText xml:space="preserve"> PAGEREF _Toc619 \h </w:instrText>
          </w:r>
          <w:r>
            <w:fldChar w:fldCharType="separate"/>
          </w:r>
          <w:r>
            <w:t>6</w:t>
          </w:r>
          <w:r>
            <w:fldChar w:fldCharType="end"/>
          </w:r>
          <w:r>
            <w:rPr>
              <w:rFonts w:hint="eastAsia" w:ascii="宋体" w:hAnsi="宋体" w:eastAsia="宋体" w:cs="宋体"/>
              <w:szCs w:val="24"/>
            </w:rPr>
            <w:fldChar w:fldCharType="end"/>
          </w:r>
        </w:p>
        <w:p w14:paraId="108E86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_Toc31304 </w:instrText>
          </w:r>
          <w:r>
            <w:rPr>
              <w:rFonts w:hint="eastAsia" w:ascii="宋体" w:hAnsi="宋体" w:eastAsia="宋体" w:cs="宋体"/>
              <w:szCs w:val="24"/>
            </w:rPr>
            <w:fldChar w:fldCharType="separate"/>
          </w:r>
          <w:r>
            <w:rPr>
              <w:rFonts w:hint="default"/>
              <w:lang w:val="en-US" w:eastAsia="zh-CN"/>
            </w:rPr>
            <w:t>4.1. 主要成效</w:t>
          </w:r>
          <w:r>
            <w:tab/>
          </w:r>
          <w:r>
            <w:fldChar w:fldCharType="begin"/>
          </w:r>
          <w:r>
            <w:instrText xml:space="preserve"> PAGEREF _Toc31304 \h </w:instrText>
          </w:r>
          <w:r>
            <w:fldChar w:fldCharType="separate"/>
          </w:r>
          <w:r>
            <w:t>6</w:t>
          </w:r>
          <w:r>
            <w:fldChar w:fldCharType="end"/>
          </w:r>
          <w:r>
            <w:rPr>
              <w:rFonts w:hint="eastAsia" w:ascii="宋体" w:hAnsi="宋体" w:eastAsia="宋体" w:cs="宋体"/>
              <w:szCs w:val="24"/>
            </w:rPr>
            <w:fldChar w:fldCharType="end"/>
          </w:r>
        </w:p>
        <w:p w14:paraId="4DA7DE4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_Toc23941 </w:instrText>
          </w:r>
          <w:r>
            <w:rPr>
              <w:rFonts w:hint="eastAsia" w:ascii="宋体" w:hAnsi="宋体" w:eastAsia="宋体" w:cs="宋体"/>
              <w:szCs w:val="24"/>
            </w:rPr>
            <w:fldChar w:fldCharType="separate"/>
          </w:r>
          <w:r>
            <w:rPr>
              <w:rFonts w:hint="default"/>
              <w:lang w:val="en-US" w:eastAsia="zh-CN"/>
            </w:rPr>
            <w:t>4.2. 持续优化方向</w:t>
          </w:r>
          <w:r>
            <w:tab/>
          </w:r>
          <w:r>
            <w:fldChar w:fldCharType="begin"/>
          </w:r>
          <w:r>
            <w:instrText xml:space="preserve"> PAGEREF _Toc23941 \h </w:instrText>
          </w:r>
          <w:r>
            <w:fldChar w:fldCharType="separate"/>
          </w:r>
          <w:r>
            <w:t>6</w:t>
          </w:r>
          <w:r>
            <w:fldChar w:fldCharType="end"/>
          </w:r>
          <w:r>
            <w:rPr>
              <w:rFonts w:hint="eastAsia" w:ascii="宋体" w:hAnsi="宋体" w:eastAsia="宋体" w:cs="宋体"/>
              <w:szCs w:val="24"/>
            </w:rPr>
            <w:fldChar w:fldCharType="end"/>
          </w:r>
        </w:p>
        <w:p w14:paraId="6B20854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_Toc13757 </w:instrText>
          </w:r>
          <w:r>
            <w:rPr>
              <w:rFonts w:hint="eastAsia" w:ascii="宋体" w:hAnsi="宋体" w:eastAsia="宋体" w:cs="宋体"/>
              <w:szCs w:val="24"/>
            </w:rPr>
            <w:fldChar w:fldCharType="separate"/>
          </w:r>
          <w:r>
            <w:rPr>
              <w:rFonts w:hint="default"/>
              <w:lang w:val="en-US" w:eastAsia="zh-CN"/>
            </w:rPr>
            <w:t>5. 总结</w:t>
          </w:r>
          <w:r>
            <w:tab/>
          </w:r>
          <w:r>
            <w:fldChar w:fldCharType="begin"/>
          </w:r>
          <w:r>
            <w:instrText xml:space="preserve"> PAGEREF _Toc13757 \h </w:instrText>
          </w:r>
          <w:r>
            <w:fldChar w:fldCharType="separate"/>
          </w:r>
          <w:r>
            <w:t>7</w:t>
          </w:r>
          <w:r>
            <w:fldChar w:fldCharType="end"/>
          </w:r>
          <w:r>
            <w:rPr>
              <w:rFonts w:hint="eastAsia" w:ascii="宋体" w:hAnsi="宋体" w:eastAsia="宋体" w:cs="宋体"/>
              <w:szCs w:val="24"/>
            </w:rPr>
            <w:fldChar w:fldCharType="end"/>
          </w:r>
        </w:p>
        <w:p w14:paraId="50CC05D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3DE85E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D8F1D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系统化落实《服务数据管理制度》，提升运维服务数据的治理水平与应用价值，驱动服务能力提升与管理决策科学化，公司自制度发布以来，已全面推进服务数据全生命周期管理体系的建设与实践。截至2025年11月的应用情况说明如下</w:t>
      </w:r>
      <w:r>
        <w:rPr>
          <w:rFonts w:hint="eastAsia"/>
          <w:lang w:val="en-US" w:eastAsia="zh-CN"/>
        </w:rPr>
        <w:t>。</w:t>
      </w:r>
    </w:p>
    <w:p w14:paraId="16212AC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5044"/>
      <w:r>
        <w:rPr>
          <w:rFonts w:hint="default"/>
          <w:lang w:val="en-US" w:eastAsia="zh-CN"/>
        </w:rPr>
        <w:t>管理体系构建与职责落地</w:t>
      </w:r>
      <w:bookmarkEnd w:id="2"/>
    </w:p>
    <w:p w14:paraId="07C945D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058"/>
      <w:r>
        <w:rPr>
          <w:rFonts w:hint="default"/>
          <w:lang w:val="en-US" w:eastAsia="zh-CN"/>
        </w:rPr>
        <w:t>制度与流程确立</w:t>
      </w:r>
      <w:bookmarkEnd w:id="3"/>
    </w:p>
    <w:p w14:paraId="1F1E01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已依据制度要求，建立了覆盖数据“识别采集、存储处理、分析应用、归档销毁”的全周期管理流程与规范，明确了各环节的操作标准与输出物。</w:t>
      </w:r>
    </w:p>
    <w:p w14:paraId="4027852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4167"/>
      <w:r>
        <w:rPr>
          <w:rFonts w:hint="default"/>
          <w:lang w:val="en-US" w:eastAsia="zh-CN"/>
        </w:rPr>
        <w:t>跨部门协同机制运行</w:t>
      </w:r>
      <w:bookmarkEnd w:id="4"/>
    </w:p>
    <w:p w14:paraId="2B6070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数智运营部作为归口管理部门，牵头负责数据日常管理、分析应用及报告编制。</w:t>
      </w:r>
    </w:p>
    <w:p w14:paraId="527CE6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质量管理部履行监督评审职责，对数据质量及分析结论的有效性进行把关。</w:t>
      </w:r>
    </w:p>
    <w:p w14:paraId="0A6F62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研究总院提供必要的工具与平台技术支持，保障数据管理的技术基础。</w:t>
      </w:r>
    </w:p>
    <w:p w14:paraId="48C01A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运维工程师等一线角色，负责数据录入、系统维护及基础统计，确保数据源的准确与稳定。</w:t>
      </w:r>
    </w:p>
    <w:p w14:paraId="60A49E4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1759"/>
      <w:r>
        <w:rPr>
          <w:rFonts w:hint="default"/>
          <w:lang w:val="en-US" w:eastAsia="zh-CN"/>
        </w:rPr>
        <w:t>服务数据管理全流程实施情况</w:t>
      </w:r>
      <w:bookmarkEnd w:id="5"/>
    </w:p>
    <w:p w14:paraId="25B754F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6251"/>
      <w:r>
        <w:rPr>
          <w:rFonts w:hint="default"/>
          <w:lang w:val="en-US" w:eastAsia="zh-CN"/>
        </w:rPr>
        <w:t>数据识别与规范化采集</w:t>
      </w:r>
      <w:bookmarkEnd w:id="6"/>
    </w:p>
    <w:p w14:paraId="4F44B2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范围明确：已系统识别并确定四大类核心服务数据的采集范围，包括：服务交付数据（事件/请求、SLA达成率）、资源监控数据（性能指标、日志）、客户反馈数据（满意度调查）及管理运营数据（工时、知识使用率）。</w:t>
      </w:r>
    </w:p>
    <w:p w14:paraId="328A60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采集机制建立：初步建立了以运维管理系统为主体的自动化采集与人工录入复核相结合的机制，确保关键数据采集的及时性与完整性。</w:t>
      </w:r>
    </w:p>
    <w:p w14:paraId="7782DB7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3359"/>
      <w:r>
        <w:rPr>
          <w:rFonts w:hint="default"/>
          <w:lang w:val="en-US" w:eastAsia="zh-CN"/>
        </w:rPr>
        <w:t>数据存储、安全与质量保障</w:t>
      </w:r>
      <w:bookmarkEnd w:id="7"/>
    </w:p>
    <w:p w14:paraId="6F5E68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集中化存储：服务数据已实现集中存储于受控的数据库或专用存储中，初步形成结构化数据资产。</w:t>
      </w:r>
    </w:p>
    <w:p w14:paraId="0E7337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安全管控：依据数据敏感性实施了分级访问控制，关键操作日志完整记录，并已建立月度备份机制，保障数据安全与可恢复性。</w:t>
      </w:r>
    </w:p>
    <w:p w14:paraId="506C58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质量治理启动：通过制定数据录入规范与建立定期抽查机制，启动了数据准确性、一致性的初步治理工作。</w:t>
      </w:r>
    </w:p>
    <w:p w14:paraId="662DF253">
      <w:pPr>
        <w:pStyle w:val="30"/>
        <w:bidi w:val="0"/>
        <w:rPr>
          <w:rFonts w:hint="default"/>
          <w:lang w:val="en-US" w:eastAsia="zh-CN"/>
        </w:rPr>
      </w:pPr>
      <w:bookmarkStart w:id="8" w:name="_Toc9968"/>
      <w:r>
        <w:rPr>
          <w:rFonts w:hint="default"/>
          <w:lang w:val="en-US" w:eastAsia="zh-CN"/>
        </w:rPr>
        <w:t>数据处理、分析与应用深化</w:t>
      </w:r>
      <w:bookmarkEnd w:id="8"/>
    </w:p>
    <w:p w14:paraId="4B8A3B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常态化分析机制：已建立季度服务数据定期分析机制。通过对采集数据的清洗、整合与多维度分析（如趋势分析、根本原因分析），已编制并发布《运维服务季度分析报告》共3期。</w:t>
      </w:r>
    </w:p>
    <w:p w14:paraId="6BDAA2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数据驱动决策实践：分析结果已应用于多个管理场景：</w:t>
      </w:r>
    </w:p>
    <w:p w14:paraId="3ED1C4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服务报告：作为向管理层及客户汇报SLA达成情况与服务绩效的核心依据。</w:t>
      </w:r>
    </w:p>
    <w:p w14:paraId="31F706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运营改进：识别了高频事件类型及处理瓶颈，为优化排班、知识库建设及流程简化提供了明确输入。</w:t>
      </w:r>
    </w:p>
    <w:p w14:paraId="40F9D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资源规划：利用系统负载与事件趋势数据，辅助进行基础设施容量预估与资源调配决策。</w:t>
      </w:r>
    </w:p>
    <w:p w14:paraId="66FFA47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0293"/>
      <w:r>
        <w:rPr>
          <w:rFonts w:hint="default"/>
          <w:lang w:val="en-US" w:eastAsia="zh-CN"/>
        </w:rPr>
        <w:t>考核指标达成情况</w:t>
      </w:r>
      <w:bookmarkEnd w:id="9"/>
    </w:p>
    <w:p w14:paraId="5D827C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56530" cy="2988310"/>
            <wp:effectExtent l="5080" t="4445" r="11430" b="952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DAD8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制度设定的核心考核指标为“服务数据分析利用次数”，目标为每季度不少于</w:t>
      </w:r>
      <w:bookmarkStart w:id="14" w:name="_GoBack"/>
      <w:bookmarkEnd w:id="14"/>
      <w:r>
        <w:rPr>
          <w:rFonts w:hint="default"/>
          <w:lang w:val="en-US" w:eastAsia="zh-CN"/>
        </w:rPr>
        <w:t>3次。</w:t>
      </w:r>
    </w:p>
    <w:p w14:paraId="3C6B12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2025年第一季度：围绕SLA达成情况、事件类型分布及处理效率完成数据分析与应用，输出分析报告并用于管理评审，当期有效利用次数为3次。</w:t>
      </w:r>
    </w:p>
    <w:p w14:paraId="71A51D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2025年第二季度：针对系统性能趋势、高频问题根因及知识库使用效果进行深入分析，相关结论支撑了资源调配与流程优化决策，当期有效利用次数为3次。</w:t>
      </w:r>
    </w:p>
    <w:p w14:paraId="49EB55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2025年第三季度：结合客户满意度调查结果，开展了服务质量关联分析，并完成了运维成本效能的数据洞察，当期有效利用次数为 4次，超额完成目标。</w:t>
      </w:r>
    </w:p>
    <w:p w14:paraId="2050A2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截至2025年11月，本年度累计完成服务数据分析与有效利用10次，各季度均达到或超过考核目标，数据驱动决策与改进的机制已实现常态化、高频次运行。</w:t>
      </w:r>
    </w:p>
    <w:p w14:paraId="4C9B220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619"/>
      <w:r>
        <w:rPr>
          <w:rFonts w:hint="default"/>
          <w:lang w:val="en-US" w:eastAsia="zh-CN"/>
        </w:rPr>
        <w:t>实施成效与后续优化方向</w:t>
      </w:r>
      <w:bookmarkEnd w:id="10"/>
    </w:p>
    <w:p w14:paraId="57DD4ACF">
      <w:pPr>
        <w:pStyle w:val="30"/>
        <w:bidi w:val="0"/>
        <w:rPr>
          <w:rFonts w:hint="default"/>
          <w:lang w:val="en-US" w:eastAsia="zh-CN"/>
        </w:rPr>
      </w:pPr>
      <w:bookmarkStart w:id="11" w:name="_Toc31304"/>
      <w:r>
        <w:rPr>
          <w:rFonts w:hint="default"/>
          <w:lang w:val="en-US" w:eastAsia="zh-CN"/>
        </w:rPr>
        <w:t>主要成效</w:t>
      </w:r>
      <w:bookmarkEnd w:id="11"/>
    </w:p>
    <w:p w14:paraId="22777B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决策科学化提升：管理决策从经验驱动逐步转向“数据+经验”双驱动，决策依据更为客观。</w:t>
      </w:r>
    </w:p>
    <w:p w14:paraId="19EFBC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服务过程可视化：通过定期报告，使服务状态、质量与效率变得可衡量、可呈现，提升了内外部沟通效率。</w:t>
      </w:r>
    </w:p>
    <w:p w14:paraId="704AB1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持续改进闭环：数据分析已成为识别服务短板、触发改进措施（如流程优化、培训需求）的关键输入，推动了服务能力的迭代提升。</w:t>
      </w:r>
    </w:p>
    <w:p w14:paraId="404D12B1">
      <w:pPr>
        <w:pStyle w:val="30"/>
        <w:bidi w:val="0"/>
        <w:rPr>
          <w:rFonts w:hint="default"/>
          <w:lang w:val="en-US" w:eastAsia="zh-CN"/>
        </w:rPr>
      </w:pPr>
      <w:bookmarkStart w:id="12" w:name="_Toc23941"/>
      <w:r>
        <w:rPr>
          <w:rFonts w:hint="default"/>
          <w:lang w:val="en-US" w:eastAsia="zh-CN"/>
        </w:rPr>
        <w:t>持续优化方向</w:t>
      </w:r>
      <w:bookmarkEnd w:id="12"/>
    </w:p>
    <w:p w14:paraId="117018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深化分析洞察：计划引入更高级的分析模型（如预测性分析），从“描述现状”向“预测预警”和“处方建议”深化。</w:t>
      </w:r>
    </w:p>
    <w:p w14:paraId="1170CD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提升数据质量与自动化：将进一步优化数据采集源头质量，并探索利用工具实现更多报表的自动化生成，提升效率。</w:t>
      </w:r>
    </w:p>
    <w:p w14:paraId="5CCF76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扩大数据应用范围：探索将服务数据与财务、项目等数据关联分析，以评估服务投入产出比（ROI），支撑更全面的经营管理。</w:t>
      </w:r>
    </w:p>
    <w:p w14:paraId="18D472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加强数据文化培育：通过培训与分享，提升全员的数据敏感度和基于数据发现问题、解决问题的能力。</w:t>
      </w:r>
    </w:p>
    <w:p w14:paraId="5B8DD46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757"/>
      <w:r>
        <w:rPr>
          <w:rFonts w:hint="default"/>
          <w:lang w:val="en-US" w:eastAsia="zh-CN"/>
        </w:rPr>
        <w:t>总结</w:t>
      </w:r>
      <w:bookmarkEnd w:id="13"/>
    </w:p>
    <w:p w14:paraId="36D12D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数据管理制度》已得到有效实施，服务数据的管理框架、流程与基础能力已初步构建。数据作为核心资产的价值正通过常态化的分析与应用得以释放，在支撑精准决策、驱动服务优化方面发挥了重要作用。后续，数智运营部将持续完善数据治理体系，深化数据应用场景，充分挖掘数据潜能，为公司的数智化运营与高质量发展提供坚实的数据动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CDDA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014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2025</a:t>
            </a:r>
            <a:r>
              <a:rPr altLang="en-US"/>
              <a:t>年服务数据分析利用趋势图</a:t>
            </a:r>
            <a:endParaRPr lang="en-US" altLang="zh-CN"/>
          </a:p>
        </c:rich>
      </c:tx>
      <c:layout/>
      <c:overlay val="0"/>
      <c:spPr>
        <a:noFill/>
        <a:ln>
          <a:noFill/>
        </a:ln>
        <a:effectLst/>
      </c:spPr>
    </c:title>
    <c:autoTitleDeleted val="0"/>
    <c:plotArea>
      <c:layout/>
      <c:lineChart>
        <c:grouping val="standard"/>
        <c:varyColors val="0"/>
        <c:ser>
          <c:idx val="0"/>
          <c:order val="0"/>
          <c:tx>
            <c:strRef>
              <c:f>Sheet1!$B$1</c:f>
              <c:strCache>
                <c:ptCount val="1"/>
                <c:pt idx="0">
                  <c:v>服务数据分析利用次数</c:v>
                </c:pt>
              </c:strCache>
            </c:strRef>
          </c:tx>
          <c:spPr>
            <a:ln w="28575" cap="rnd" cmpd="sng" algn="ctr">
              <a:solidFill>
                <a:schemeClr val="accent1"/>
              </a:solidFill>
              <a:prstDash val="solid"/>
              <a:round/>
            </a:ln>
            <a:effectLst/>
          </c:spPr>
          <c:marker>
            <c:symbol val="none"/>
          </c:marker>
          <c:dLbls>
            <c:delete val="1"/>
          </c:dLbls>
          <c:cat>
            <c:strRef>
              <c:f>Sheet1!$A$2:$A$4</c:f>
              <c:strCache>
                <c:ptCount val="3"/>
                <c:pt idx="0">
                  <c:v>一季度</c:v>
                </c:pt>
                <c:pt idx="1">
                  <c:v>二季度</c:v>
                </c:pt>
                <c:pt idx="2">
                  <c:v>三季度</c:v>
                </c:pt>
              </c:strCache>
            </c:strRef>
          </c:cat>
          <c:val>
            <c:numRef>
              <c:f>Sheet1!$B$2:$B$4</c:f>
              <c:numCache>
                <c:formatCode>General</c:formatCode>
                <c:ptCount val="3"/>
                <c:pt idx="0">
                  <c:v>3</c:v>
                </c:pt>
                <c:pt idx="1">
                  <c:v>3</c:v>
                </c:pt>
                <c:pt idx="2">
                  <c:v>4</c:v>
                </c:pt>
              </c:numCache>
            </c:numRef>
          </c:val>
          <c:smooth val="0"/>
        </c:ser>
        <c:dLbls>
          <c:showLegendKey val="0"/>
          <c:showVal val="0"/>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666549433"/>
        <c:axId val="341988875"/>
      </c:lineChart>
      <c:catAx>
        <c:axId val="66654943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季度</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1988875"/>
        <c:crosses val="autoZero"/>
        <c:auto val="1"/>
        <c:lblAlgn val="ctr"/>
        <c:lblOffset val="100"/>
        <c:noMultiLvlLbl val="0"/>
      </c:catAx>
      <c:valAx>
        <c:axId val="341988875"/>
        <c:scaling>
          <c:orientation val="minMax"/>
          <c:max val="5"/>
          <c:min val="2.5"/>
        </c:scaling>
        <c:delete val="0"/>
        <c:axPos val="l"/>
        <c:majorGridlines>
          <c:spPr>
            <a:ln w="9525" cap="flat" cmpd="sng" algn="ctr">
              <a:solidFill>
                <a:schemeClr val="lt1">
                  <a:lumMod val="902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服务数据分析利用次数</a:t>
                </a:r>
                <a:endParaRPr lang="en-US" altLang="zh-CN"/>
              </a:p>
            </c:rich>
          </c:tx>
          <c:layout/>
          <c:overlay val="0"/>
          <c:spPr>
            <a:noFill/>
            <a:ln>
              <a:noFill/>
            </a:ln>
            <a:effectLst/>
          </c:spPr>
        </c:title>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6549433"/>
        <c:crosses val="autoZero"/>
        <c:crossBetween val="between"/>
        <c:majorUnit val="0.5"/>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29612ab-04bc-407b-b1ac-184fe8b0bd8d}"/>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1998</Words>
  <Characters>2105</Characters>
  <Lines>0</Lines>
  <Paragraphs>0</Paragraphs>
  <TotalTime>0</TotalTime>
  <ScaleCrop>false</ScaleCrop>
  <LinksUpToDate>false</LinksUpToDate>
  <CharactersWithSpaces>2161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