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4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515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bookmarkStart w:id="2" w:name="_GoBack"/>
      <w:bookmarkEnd w:id="2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_Toc22515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_Toc17913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_Toc16394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服务交付</w:t>
          </w:r>
          <w:r>
            <w:tab/>
          </w:r>
          <w:r>
            <w:fldChar w:fldCharType="begin"/>
          </w:r>
          <w:r>
            <w:instrText xml:space="preserve"> PAGEREF _Toc6856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交付物</w:t>
          </w:r>
          <w:r>
            <w:tab/>
          </w:r>
          <w:r>
            <w:fldChar w:fldCharType="begin"/>
          </w:r>
          <w:r>
            <w:instrText xml:space="preserve"> PAGEREF _Toc21233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交付经理</w:t>
          </w:r>
          <w:r>
            <w:tab/>
          </w:r>
          <w:r>
            <w:fldChar w:fldCharType="begin"/>
          </w:r>
          <w:r>
            <w:instrText xml:space="preserve"> PAGEREF _Toc10171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管理原则</w:t>
          </w:r>
          <w:r>
            <w:tab/>
          </w:r>
          <w:r>
            <w:fldChar w:fldCharType="begin"/>
          </w:r>
          <w:r>
            <w:instrText xml:space="preserve"> PAGEREF _Toc28216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_Toc22052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数智运营部</w:t>
          </w:r>
          <w:r>
            <w:tab/>
          </w:r>
          <w:r>
            <w:fldChar w:fldCharType="begin"/>
          </w:r>
          <w:r>
            <w:instrText xml:space="preserve"> PAGEREF _Toc3688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质量管理部</w:t>
          </w:r>
          <w:r>
            <w:tab/>
          </w:r>
          <w:r>
            <w:fldChar w:fldCharType="begin"/>
          </w:r>
          <w:r>
            <w:instrText xml:space="preserve"> PAGEREF _Toc28404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研究总院</w:t>
          </w:r>
          <w:r>
            <w:tab/>
          </w:r>
          <w:r>
            <w:fldChar w:fldCharType="begin"/>
          </w:r>
          <w:r>
            <w:instrText xml:space="preserve"> PAGEREF _Toc25844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服务知识专员</w:t>
          </w:r>
          <w:r>
            <w:tab/>
          </w:r>
          <w:r>
            <w:fldChar w:fldCharType="begin"/>
          </w:r>
          <w:r>
            <w:instrText xml:space="preserve"> PAGEREF _Toc24824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交付内容与方式</w:t>
          </w:r>
          <w:r>
            <w:tab/>
          </w:r>
          <w:r>
            <w:fldChar w:fldCharType="begin"/>
          </w:r>
          <w:r>
            <w:instrText xml:space="preserve"> PAGEREF _Toc9237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交付内容</w:t>
          </w:r>
          <w:r>
            <w:tab/>
          </w:r>
          <w:r>
            <w:fldChar w:fldCharType="begin"/>
          </w:r>
          <w:r>
            <w:instrText xml:space="preserve"> PAGEREF _Toc435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交付方式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服务交付过程管理</w:t>
          </w:r>
          <w:r>
            <w:tab/>
          </w:r>
          <w:r>
            <w:fldChar w:fldCharType="begin"/>
          </w:r>
          <w:r>
            <w:instrText xml:space="preserve"> PAGEREF _Toc26208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交付策划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交付实施</w:t>
          </w:r>
          <w:r>
            <w:tab/>
          </w:r>
          <w:r>
            <w:fldChar w:fldCharType="begin"/>
          </w:r>
          <w:r>
            <w:instrText xml:space="preserve"> PAGEREF _Toc7581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交付检查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交付回顾与改进</w:t>
          </w:r>
          <w:r>
            <w:tab/>
          </w:r>
          <w:r>
            <w:fldChar w:fldCharType="begin"/>
          </w:r>
          <w:r>
            <w:instrText xml:space="preserve"> PAGEREF _Toc6091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交付物管理</w:t>
          </w:r>
          <w:r>
            <w:tab/>
          </w:r>
          <w:r>
            <w:fldChar w:fldCharType="begin"/>
          </w:r>
          <w:r>
            <w:instrText xml:space="preserve"> PAGEREF _Toc7939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1345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为规范公司软件运维服务的交付管理，明确交付内容、方式与质量标准，确保服务按既定协议有效交付，提升客户满意度与交付效率，并为ITSS符合性评估提供依据，特制定本制度。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7913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本制度适用于公司向客户提供的所有软件运维服务（含基础软件、应用软件）的交付活动全过程管理。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6394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6856"/>
      <w:r>
        <w:rPr>
          <w:rFonts w:hint="default"/>
          <w:lang w:val="en-US" w:eastAsia="zh-CN"/>
        </w:rPr>
        <w:t>服务交付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指依据《服务级别协议》（SLA），通过一系列组织协调、资源调配和技术活动，向客户提供约定服务并输出成果的完整过程。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1233"/>
      <w:r>
        <w:rPr>
          <w:rFonts w:hint="default"/>
          <w:lang w:val="en-US" w:eastAsia="zh-CN"/>
        </w:rPr>
        <w:t>交付物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服务交付过程中产生、需提交给客户或用于内部管理的有形或无形成果。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171"/>
      <w:r>
        <w:rPr>
          <w:rFonts w:hint="default"/>
          <w:lang w:val="en-US" w:eastAsia="zh-CN"/>
        </w:rPr>
        <w:t>交付经理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项目层面由运维项目经理担任，负责具体项目的交付管理；部门层面由数智运营部经理负责监督与改进。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8216"/>
      <w:r>
        <w:rPr>
          <w:rFonts w:hint="default"/>
          <w:lang w:val="en-US" w:eastAsia="zh-CN"/>
        </w:rPr>
        <w:t>管理原则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客户价值导向： 以保障客户业务连续性和满足SLA为核心目标。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过程标准可控： 遵循标准化的交付流程，确保过程可追溯、质量可控制。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数据驱动决策： 基于服务数据监控和分析，支撑交付过程的优化与决策。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2052"/>
      <w:r>
        <w:rPr>
          <w:rFonts w:hint="default"/>
          <w:lang w:val="en-US" w:eastAsia="zh-CN"/>
        </w:rPr>
        <w:t>组织与职责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688"/>
      <w:r>
        <w:rPr>
          <w:rFonts w:hint="default"/>
          <w:lang w:val="en-US" w:eastAsia="zh-CN"/>
        </w:rPr>
        <w:t>数智运营部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部门经理：负责公司服务交付管理体系的建立、维护与监督；审批重大交付方案；组织对交付绩效的评审与改进。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运维项目经理：作为具体项目的交付负责人，负责项目交付策划、资源协调、过程监控、客户沟通及交付成果的最终确认。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服务台专员：作为统一接口，负责接收、记录、初步处理及闭环跟踪用户的服务请求与事件，是事件类服务交付的发起与跟踪者。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运维工程师：负责具体技术服务的执行，是核心交付物的直接生产者。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8404"/>
      <w:r>
        <w:rPr>
          <w:rFonts w:hint="default"/>
          <w:lang w:val="en-US" w:eastAsia="zh-CN"/>
        </w:rPr>
        <w:t>质量管理部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负责监督服务交付过程的合规性。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负责组织或参与重大交付物的质量评审与客户验收。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负责组织客户满意度调查，收集交付质量反馈。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5844"/>
      <w:r>
        <w:rPr>
          <w:rFonts w:hint="default"/>
          <w:lang w:val="en-US" w:eastAsia="zh-CN"/>
        </w:rPr>
        <w:t>研究总院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负责为软件补丁、升级版本等交付活动提供符合发布标准的技术组件（参见《最终软件库管理制度》）。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在需要时，为复杂变更或故障排查提供专业技术支持。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4824"/>
      <w:r>
        <w:rPr>
          <w:rFonts w:hint="default"/>
          <w:lang w:val="en-US" w:eastAsia="zh-CN"/>
        </w:rPr>
        <w:t>服务知识专员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负责在交付过程中，推动将解决方案、经验教训转化为知识条目（参见《服务知识管理制度》）。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协助交付团队从知识库中获取历史解决方案，提升交付效率。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9237"/>
      <w:r>
        <w:rPr>
          <w:rFonts w:hint="default"/>
          <w:lang w:val="en-US" w:eastAsia="zh-CN"/>
        </w:rPr>
        <w:t>交付内容与方式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435"/>
      <w:r>
        <w:rPr>
          <w:rFonts w:hint="default"/>
          <w:lang w:val="en-US" w:eastAsia="zh-CN"/>
        </w:rPr>
        <w:t>交付内容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本公司作为纯软件运维服务商，核心交付内容包括但不限于：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事件解决服务：针对软件系统出现的故障、错误或性能下降等问题，提供诊断、定位、修复及验证，恢复系统正常功能。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服务请求响应：响应用户关于软件使用、配置、咨询、数据提取等标准化请求，并提供解决方案或结果。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变更与发布服务：执行经批准的软件版本发布、补丁安装、配置变更等活动，确保变更过程受控、风险最小化。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例行运维服务：包括系统健康检查、性能监控、日志分析、备份验证等预防性维护活动。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服务报告：定期（如月度、季度）提供的《服务级别达成报告》、《运维分析报告》等，反映服务绩效与运行状态。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知识传递：在服务过程中向客户提供的操作指导、最佳实践分享以及沉淀至知识库的解决方案。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0132"/>
      <w:r>
        <w:rPr>
          <w:rFonts w:hint="default"/>
          <w:lang w:val="en-US" w:eastAsia="zh-CN"/>
        </w:rPr>
        <w:t>交付方式</w:t>
      </w:r>
      <w:bookmarkEnd w:id="1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根据服务场景和客户需求，主要采用以下交付方式：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远程交付：为主要交付方式。工程师通过安全的网络连接，利用运维工具（参见《运维服务工具管理制度》）对客户软件系统进行远程监控、诊断、修复和操作。适用于绝大多数事件处理、服务请求和例行维护。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现场交付：在远程无法解决或客户合同明确要求的情况下，指派工程师至客户现场提供服务。适用于重大故障紧急处理、复杂变更实施或特定现场培训等场景。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自动化交付：通过自动化监控平台和脚本工具，对常规、重复性的巡检、备份、告警响应等任务进行无人值守自动执行与结果报告。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报告与会议交付：通过电子邮件、客户门户或在线会议等形式，定期或按需交付服务报告，并进行服务回顾沟通。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26208"/>
      <w:r>
        <w:rPr>
          <w:rFonts w:hint="default"/>
          <w:lang w:val="en-US" w:eastAsia="zh-CN"/>
        </w:rPr>
        <w:t>服务交付过程管理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1426"/>
      <w:r>
        <w:rPr>
          <w:rFonts w:hint="default"/>
          <w:lang w:val="en-US" w:eastAsia="zh-CN"/>
        </w:rPr>
        <w:t>交付策划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输入：SLA、项目合同、客户特定要求。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活动：运维项目经理制定《服务交付计划》，明确交付范围、资源计划、沟通机制、风险预案及关键里程碑。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输出：经批准的《服务交付计划》。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7581"/>
      <w:r>
        <w:rPr>
          <w:rFonts w:hint="default"/>
          <w:lang w:val="en-US" w:eastAsia="zh-CN"/>
        </w:rPr>
        <w:t>交付实施</w:t>
      </w:r>
      <w:bookmarkEnd w:id="2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流程触发：服务请求/事件通过服务台统一接入（依据《服务台管理制度》）。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资源调用：工程师使用授权运维工具、查询知识库、申请最终软件库版本（依据相关制度）。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执行与记录：严格按照流程解决事件、实施变更或执行维护，并在工单系统中实时、完整记录过程与结果。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客户确认：服务台进行回访，获取客户对处理结果的确认。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5337"/>
      <w:r>
        <w:rPr>
          <w:rFonts w:hint="default"/>
          <w:lang w:val="en-US" w:eastAsia="zh-CN"/>
        </w:rPr>
        <w:t>交付检查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为确保交付质量与合规性，建立三级检查机制：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过程自查：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在完成每项交付活动后，对操作记录、解决效果进行自查。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质量监控：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实时监控：服务台监控工单响应与解决时限。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抽样审核：运维项目经理定期抽样检查已关闭工单的处理质量与记录规范性。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独立审计：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合规性审计： 定期审计交付过程是否符合本制度及SLA要求。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交付物审计： 对提交给客户的服务报告等关键交付物进行内容准确性、格式规范性审查。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 定期组织，直接获取客户对交付质量的评价。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6091"/>
      <w:r>
        <w:rPr>
          <w:rFonts w:hint="default"/>
          <w:lang w:val="en-US" w:eastAsia="zh-CN"/>
        </w:rPr>
        <w:t>交付回顾与改进</w:t>
      </w:r>
      <w:bookmarkEnd w:id="2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项目级回顾：运维项目经理每月主持召开项目交付例会，分析SLA数据、重大事件，制定改进措施。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部门级评审：数智运营部经理每季度组织评审会，基于《服务数据管理制度》的分析报告，识别体系性问题，并更新交付流程或资源规划。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改进闭环：所有改进措施需纳入《服务改进措施表》跟踪，并在后续交付活动中验证其有效性。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7939"/>
      <w:r>
        <w:rPr>
          <w:rFonts w:hint="default"/>
          <w:lang w:val="en-US" w:eastAsia="zh-CN"/>
        </w:rPr>
        <w:t>交付物管理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交付物（工单记录、服务报告、变更记录、知识条目等）均为公司服务资产，须在公司指定的管理系统中存储、归档，确保其完整性、安全性与可追溯性。归档期限应符合合同、法规及《服务数据管理制度》的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15154"/>
      <w:r>
        <w:rPr>
          <w:rFonts w:hint="eastAsia"/>
          <w:lang w:val="en-US" w:eastAsia="zh-CN"/>
        </w:rPr>
        <w:t>考核指标</w:t>
      </w:r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188"/>
        <w:gridCol w:w="4679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项目及时交付率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center" w:pos="486"/>
                <w:tab w:val="right" w:pos="1092"/>
              </w:tabs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00%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按时交付的项目数/运维项目总数*100%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本制度自发布之日起执行，由数智运营部负责解释与修订。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本制度与公司《服务台管理制度》、《运维服务工具管理制度》、《服务知识管理制度》、《最终软件库管理制度》及《服务数据管理制度》共同构成完整的管理体系。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AD6CAD"/>
    <w:multiLevelType w:val="singleLevel"/>
    <w:tmpl w:val="84AD6CA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43E92A"/>
    <w:multiLevelType w:val="singleLevel"/>
    <w:tmpl w:val="8543E9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A13BAF"/>
    <w:multiLevelType w:val="singleLevel"/>
    <w:tmpl w:val="97A13BA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982BA49F"/>
    <w:multiLevelType w:val="singleLevel"/>
    <w:tmpl w:val="982BA4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CC2960"/>
    <w:multiLevelType w:val="singleLevel"/>
    <w:tmpl w:val="CACC296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43818FF"/>
    <w:multiLevelType w:val="singleLevel"/>
    <w:tmpl w:val="543818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2529</Words>
  <Characters>2653</Characters>
  <Application>Microsoft Office Word</Application>
  <DocSecurity>0</DocSecurity>
  <Lines>0</Lines>
  <Paragraphs>0</Paragraphs>
  <ScaleCrop>false</ScaleCrop>
  <Company/>
  <LinksUpToDate>false</LinksUpToDate>
  <CharactersWithSpaces>2753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