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5155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11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D38D09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921"/>
      <w:r>
        <w:rPr>
          <w:rFonts w:hint="eastAsia"/>
          <w:lang w:val="en-US" w:eastAsia="zh-CN"/>
        </w:rPr>
        <w:t>翔云系统运维服务项目-实施方案</w:t>
      </w:r>
      <w:bookmarkEnd w:id="1"/>
    </w:p>
    <w:p w14:paraId="3D87E2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853C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3ED4A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B0BFF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D86F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C2AD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B80B4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5401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76B98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B7411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BE91F2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2B0C88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2B35B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4648E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51EF8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F3392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A802D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5F3A0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3653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8739D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D305F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6047E0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7E1D0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A7BBD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1D3F88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7847AF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26F8B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BF42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1AB6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79A45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095B1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D7D78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AD39B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6AFBF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40C7B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43CA5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6F9AC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07CCE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5DF81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62E97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940B8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56018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585CA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F0A21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FEA83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D25F1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F2218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0615D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FA29F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E36F6F1">
          <w:pPr>
            <w:pStyle w:val="16"/>
            <w:tabs>
              <w:tab w:val="right" w:leader="dot" w:pos="8306"/>
            </w:tabs>
          </w:pPr>
          <w:bookmarkStart w:id="14" w:name="_GoBack"/>
          <w:bookmarkEnd w:id="14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_Toc26119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8325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翔云系统运维服务项目-实施方案</w:t>
          </w:r>
          <w:r>
            <w:tab/>
          </w:r>
          <w:r>
            <w:fldChar w:fldCharType="begin"/>
          </w:r>
          <w:r>
            <w:instrText xml:space="preserve"> PAGEREF _Toc18921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855E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项目总览与目标</w:t>
          </w:r>
          <w:r>
            <w:tab/>
          </w:r>
          <w:r>
            <w:fldChar w:fldCharType="begin"/>
          </w:r>
          <w:r>
            <w:instrText xml:space="preserve"> PAGEREF _Toc274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7656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项目背景</w:t>
          </w:r>
          <w:r>
            <w:tab/>
          </w:r>
          <w:r>
            <w:fldChar w:fldCharType="begin"/>
          </w:r>
          <w:r>
            <w:instrText xml:space="preserve"> PAGEREF _Toc20063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4D32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核心目标（与合同1.4条对齐）</w:t>
          </w:r>
          <w:r>
            <w:tab/>
          </w:r>
          <w:r>
            <w:fldChar w:fldCharType="begin"/>
          </w:r>
          <w:r>
            <w:instrText xml:space="preserve"> PAGEREF _Toc31883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7E9C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实施范围</w:t>
          </w:r>
          <w:r>
            <w:tab/>
          </w:r>
          <w:r>
            <w:fldChar w:fldCharType="begin"/>
          </w:r>
          <w:r>
            <w:instrText xml:space="preserve"> PAGEREF _Toc9335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C2B3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项目组织与职责分工</w:t>
          </w:r>
          <w:r>
            <w:tab/>
          </w:r>
          <w:r>
            <w:fldChar w:fldCharType="begin"/>
          </w:r>
          <w:r>
            <w:instrText xml:space="preserve"> PAGEREF _Toc30549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4BB4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服务交付详细流程</w:t>
          </w:r>
          <w:r>
            <w:tab/>
          </w:r>
          <w:r>
            <w:fldChar w:fldCharType="begin"/>
          </w:r>
          <w:r>
            <w:instrText xml:space="preserve"> PAGEREF _Toc14602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690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服务请求全生命周期管理（支撑合同第四条）</w:t>
          </w:r>
          <w:r>
            <w:tab/>
          </w:r>
          <w:r>
            <w:fldChar w:fldCharType="begin"/>
          </w:r>
          <w:r>
            <w:instrText xml:space="preserve"> PAGEREF _Toc13938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1A2F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知识管理体系运营流程（支撑合同3.5条及8.2条）</w:t>
          </w:r>
          <w:r>
            <w:tab/>
          </w:r>
          <w:r>
            <w:fldChar w:fldCharType="begin"/>
          </w:r>
          <w:r>
            <w:instrText xml:space="preserve"> PAGEREF _Toc25170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EE80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服务级别协议（SLA）与关键绩效指标</w:t>
          </w:r>
          <w:r>
            <w:tab/>
          </w:r>
          <w:r>
            <w:fldChar w:fldCharType="begin"/>
          </w:r>
          <w:r>
            <w:instrText xml:space="preserve"> PAGEREF _Toc28500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4B33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沟通与报告机制</w:t>
          </w:r>
          <w:r>
            <w:tab/>
          </w:r>
          <w:r>
            <w:fldChar w:fldCharType="begin"/>
          </w:r>
          <w:r>
            <w:instrText xml:space="preserve"> PAGEREF _Toc24478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1932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交付物与验收计划</w:t>
          </w:r>
          <w:r>
            <w:tab/>
          </w:r>
          <w:r>
            <w:fldChar w:fldCharType="begin"/>
          </w:r>
          <w:r>
            <w:instrText xml:space="preserve"> PAGEREF _Toc11588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C8D0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质量保障与风险控制</w:t>
          </w:r>
          <w:r>
            <w:tab/>
          </w:r>
          <w:r>
            <w:fldChar w:fldCharType="begin"/>
          </w:r>
          <w:r>
            <w:instrText xml:space="preserve"> PAGEREF _Toc31602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F5658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D6FF7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64F4795">
      <w:pPr>
        <w:pStyle w:val="28"/>
        <w:bidi w:val="0"/>
        <w:rPr>
          <w:rFonts w:hint="default"/>
          <w:lang w:val="en-US" w:eastAsia="zh-CN"/>
        </w:rPr>
      </w:pPr>
      <w:bookmarkStart w:id="2" w:name="_Toc274"/>
      <w:r>
        <w:rPr>
          <w:rFonts w:hint="default"/>
          <w:lang w:val="en-US" w:eastAsia="zh-CN"/>
        </w:rPr>
        <w:t>项目总览与目标</w:t>
      </w:r>
      <w:bookmarkEnd w:id="2"/>
    </w:p>
    <w:p w14:paraId="02DBFF49">
      <w:pPr>
        <w:pStyle w:val="30"/>
        <w:bidi w:val="0"/>
        <w:rPr>
          <w:rFonts w:hint="default"/>
          <w:lang w:val="en-US" w:eastAsia="zh-CN"/>
        </w:rPr>
      </w:pPr>
      <w:bookmarkStart w:id="3" w:name="_Toc20063"/>
      <w:r>
        <w:rPr>
          <w:rFonts w:hint="default"/>
          <w:lang w:val="en-US" w:eastAsia="zh-CN"/>
        </w:rPr>
        <w:t>项目背景</w:t>
      </w:r>
      <w:bookmarkEnd w:id="3"/>
    </w:p>
    <w:p w14:paraId="1E0FB47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甲乙双方签订的《翔云系统运维及知识管理体系建设项目合同》（下称“主合同”），乙方（江西通信产业服务有限公司）将为甲方提供为期一年的“翔云”企业业务运营与财务管理系统全面运维支持服务，并同步构建标准化的运维知识管理体系。本方案旨在将合同条款转化为具体、可执行、可度量的行动计划，确保项目目标全面达成。</w:t>
      </w:r>
    </w:p>
    <w:p w14:paraId="273A76F8">
      <w:pPr>
        <w:pStyle w:val="30"/>
        <w:bidi w:val="0"/>
        <w:rPr>
          <w:rFonts w:hint="default"/>
          <w:lang w:val="en-US" w:eastAsia="zh-CN"/>
        </w:rPr>
      </w:pPr>
      <w:bookmarkStart w:id="4" w:name="_Toc31883"/>
      <w:r>
        <w:rPr>
          <w:rFonts w:hint="default"/>
          <w:lang w:val="en-US" w:eastAsia="zh-CN"/>
        </w:rPr>
        <w:t>核心目标（与合同1.4条对齐）</w:t>
      </w:r>
      <w:bookmarkEnd w:id="4"/>
    </w:p>
    <w:p w14:paraId="7EFEE81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运营稳定：保障翔云系统及其核心接口的稳定运行，年度综合服务可用性不低于9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%。</w:t>
      </w:r>
    </w:p>
    <w:p w14:paraId="6004C43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支持高效：建立并执行分级响应机制，快速解决系统功能性、数据性及集成性故障。</w:t>
      </w:r>
    </w:p>
    <w:p w14:paraId="434B57D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知识赋能：构建持续更新的项目专属知识库，显著降低重复问题发生率，赋能甲方用户。</w:t>
      </w:r>
    </w:p>
    <w:p w14:paraId="53257557">
      <w:pPr>
        <w:pStyle w:val="30"/>
        <w:bidi w:val="0"/>
        <w:rPr>
          <w:rFonts w:hint="default"/>
          <w:lang w:val="en-US" w:eastAsia="zh-CN"/>
        </w:rPr>
      </w:pPr>
      <w:bookmarkStart w:id="5" w:name="_Toc9335"/>
      <w:r>
        <w:rPr>
          <w:rFonts w:hint="default"/>
          <w:lang w:val="en-US" w:eastAsia="zh-CN"/>
        </w:rPr>
        <w:t>实施范围</w:t>
      </w:r>
      <w:bookmarkEnd w:id="5"/>
    </w:p>
    <w:p w14:paraId="664B23E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严格遵循主合同第三条定义的服务范围，覆盖系统应用支持、业务咨询、数据支持、集成接口支持及知识库建设与维护五大类别。</w:t>
      </w:r>
    </w:p>
    <w:p w14:paraId="373B200D">
      <w:pPr>
        <w:pStyle w:val="28"/>
        <w:bidi w:val="0"/>
        <w:rPr>
          <w:rFonts w:hint="default"/>
          <w:lang w:val="en-US" w:eastAsia="zh-CN"/>
        </w:rPr>
      </w:pPr>
      <w:bookmarkStart w:id="6" w:name="_Toc30549"/>
      <w:r>
        <w:rPr>
          <w:rFonts w:hint="default"/>
          <w:lang w:val="en-US" w:eastAsia="zh-CN"/>
        </w:rPr>
        <w:t>项目组织与职责分工</w:t>
      </w:r>
      <w:bookmarkEnd w:id="6"/>
    </w:p>
    <w:p w14:paraId="6E0C79C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为履行合同第二条承诺，本项目采用矩阵式组织架构，确保专业协作与资源保障。</w:t>
      </w:r>
    </w:p>
    <w:tbl>
      <w:tblPr>
        <w:tblStyle w:val="20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2125"/>
        <w:gridCol w:w="3500"/>
        <w:gridCol w:w="1569"/>
      </w:tblGrid>
      <w:tr w14:paraId="1506A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A946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角色/团队</w:t>
            </w:r>
          </w:p>
        </w:tc>
        <w:tc>
          <w:tcPr>
            <w:tcW w:w="21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AA70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所属部门（合同依据）</w:t>
            </w:r>
          </w:p>
        </w:tc>
        <w:tc>
          <w:tcPr>
            <w:tcW w:w="35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3280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项目内核心职责</w:t>
            </w:r>
          </w:p>
        </w:tc>
        <w:tc>
          <w:tcPr>
            <w:tcW w:w="15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1C77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对接甲方接口</w:t>
            </w:r>
          </w:p>
        </w:tc>
      </w:tr>
      <w:tr w14:paraId="21824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099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8ED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数智运营部（合同2.1）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F437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项目总负责；整体交付管理、资源协调、SLA达成监控、定期汇报。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59CFA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甲方项目负责人</w:t>
            </w:r>
          </w:p>
        </w:tc>
      </w:tr>
      <w:tr w14:paraId="6E126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3CF1D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服务台团队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F57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数智运营部（合同2.2）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B1F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统一受理、记录、初步诊断、分级派发所有服务请求；一线咨询解答。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EAB8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甲方终端用户/IT接口人</w:t>
            </w:r>
          </w:p>
        </w:tc>
      </w:tr>
      <w:tr w14:paraId="688E8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8FAE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研发支撑组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8DD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研究总院（合同2.3）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5EF7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处理需代码级介入的复杂缺陷、性能瓶颈、接口异常；系统变更评估。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601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甲方技术接口人</w:t>
            </w:r>
          </w:p>
        </w:tc>
      </w:tr>
      <w:tr w14:paraId="3D687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4F3D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服务知识管理组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19C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数智运营部（合同2.3）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57AD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知识萃取、结构化编写、知识库维护更新、推动知识复用。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8CE04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甲方业务专家/知识库管理员</w:t>
            </w:r>
          </w:p>
        </w:tc>
      </w:tr>
      <w:tr w14:paraId="7C3A2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20D2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质量与应急组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7A8F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质量管理部/应急管理部（合同2.3）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B22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监督服务质量、审计SLA；处理重大/紧急事件、主导服务连续性演练。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46111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甲方项目负责人</w:t>
            </w:r>
          </w:p>
        </w:tc>
      </w:tr>
    </w:tbl>
    <w:p w14:paraId="0D8542DD">
      <w:pPr>
        <w:pStyle w:val="28"/>
        <w:bidi w:val="0"/>
        <w:rPr>
          <w:rFonts w:hint="default"/>
          <w:lang w:val="en-US" w:eastAsia="zh-CN"/>
        </w:rPr>
      </w:pPr>
      <w:bookmarkStart w:id="7" w:name="_Toc14602"/>
      <w:r>
        <w:rPr>
          <w:rFonts w:hint="default"/>
          <w:lang w:val="en-US" w:eastAsia="zh-CN"/>
        </w:rPr>
        <w:t>服务交付详细流程</w:t>
      </w:r>
      <w:bookmarkEnd w:id="7"/>
    </w:p>
    <w:p w14:paraId="6AF82B47">
      <w:pPr>
        <w:pStyle w:val="30"/>
        <w:bidi w:val="0"/>
        <w:rPr>
          <w:rFonts w:hint="default"/>
          <w:lang w:val="en-US" w:eastAsia="zh-CN"/>
        </w:rPr>
      </w:pPr>
      <w:bookmarkStart w:id="8" w:name="_Toc13938"/>
      <w:r>
        <w:rPr>
          <w:rFonts w:hint="default"/>
          <w:lang w:val="en-US" w:eastAsia="zh-CN"/>
        </w:rPr>
        <w:t>服务请求全生命周期管理（支撑合同第四条）</w:t>
      </w:r>
      <w:bookmarkEnd w:id="8"/>
    </w:p>
    <w:p w14:paraId="53FE19A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接入：请求通过合同约定的7x24小时热线或在线服务台统一接入。</w:t>
      </w:r>
    </w:p>
    <w:p w14:paraId="1F90CA1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记录与分级：服务台依据预定义规则（基于合同4.3条）进行记录并初步定级（P1-P4）。</w:t>
      </w:r>
    </w:p>
    <w:p w14:paraId="4C54D62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派单与处理：根据问题类型，系统自动或人工派单至相应团队（服务台/研发支撑组）。</w:t>
      </w:r>
    </w:p>
    <w:p w14:paraId="2D5A1E5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升级与协同：超时或复杂问题自动升级至项目经理，协调跨组资源解决。</w:t>
      </w:r>
    </w:p>
    <w:p w14:paraId="412B181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解决与关闭：解决方案经甲方用户确认后关闭，并关联至知识库。P1-P3级事件自动触发满意度回访。</w:t>
      </w:r>
    </w:p>
    <w:p w14:paraId="58D94D45">
      <w:pPr>
        <w:pStyle w:val="30"/>
        <w:bidi w:val="0"/>
        <w:rPr>
          <w:rFonts w:hint="default"/>
          <w:lang w:val="en-US" w:eastAsia="zh-CN"/>
        </w:rPr>
      </w:pPr>
      <w:bookmarkStart w:id="9" w:name="_Toc25170"/>
      <w:r>
        <w:rPr>
          <w:rFonts w:hint="default"/>
          <w:lang w:val="en-US" w:eastAsia="zh-CN"/>
        </w:rPr>
        <w:t>知识管理体系运营流程（支撑合同3.5条及8.2条）</w:t>
      </w:r>
      <w:bookmarkEnd w:id="9"/>
    </w:p>
    <w:p w14:paraId="6FD8C52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生产（从工单中来）：所有解决的技术问题，须由解决者或知识管理组提炼为标准条目，按“现象-原因-步骤”模板入库。</w:t>
      </w:r>
    </w:p>
    <w:p w14:paraId="53F857C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消费（到工单中去）：服务台处理新请求时，强制优先检索知识库，引用有效条目。</w:t>
      </w:r>
    </w:p>
    <w:p w14:paraId="665617A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迭代：知识管理组按季度对知识条目进行有效性审查、更新和归档，形成《知识库更新包》（合同交付物）。</w:t>
      </w:r>
    </w:p>
    <w:p w14:paraId="26FD2EB8">
      <w:pPr>
        <w:pStyle w:val="28"/>
        <w:bidi w:val="0"/>
        <w:rPr>
          <w:rFonts w:hint="default"/>
          <w:lang w:val="en-US" w:eastAsia="zh-CN"/>
        </w:rPr>
      </w:pPr>
      <w:bookmarkStart w:id="10" w:name="_Toc28500"/>
      <w:r>
        <w:rPr>
          <w:rFonts w:hint="default"/>
          <w:lang w:val="en-US" w:eastAsia="zh-CN"/>
        </w:rPr>
        <w:t>服务级别协议（SLA）与关键绩效指标</w:t>
      </w:r>
      <w:bookmarkEnd w:id="10"/>
    </w:p>
    <w:p w14:paraId="4E48047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本方案执行将严格遵循合同附件《服务水平协议（SLA）》，核心KPI如下：</w:t>
      </w:r>
    </w:p>
    <w:tbl>
      <w:tblPr>
        <w:tblStyle w:val="20"/>
        <w:tblW w:w="876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2004"/>
        <w:gridCol w:w="3344"/>
        <w:gridCol w:w="1924"/>
      </w:tblGrid>
      <w:tr w14:paraId="71E53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3E4E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</w:p>
        </w:tc>
        <w:tc>
          <w:tcPr>
            <w:tcW w:w="20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BFB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合同标准（4.3条）</w:t>
            </w:r>
          </w:p>
        </w:tc>
        <w:tc>
          <w:tcPr>
            <w:tcW w:w="33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645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测量方法</w:t>
            </w:r>
          </w:p>
        </w:tc>
        <w:tc>
          <w:tcPr>
            <w:tcW w:w="19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8ECB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报告频率</w:t>
            </w:r>
          </w:p>
        </w:tc>
      </w:tr>
      <w:tr w14:paraId="70B79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9FF5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P1事件响应时间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5E5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≤15分钟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EE2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从接单到首次联系用户的时间差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BCA4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实时监控，月报呈现</w:t>
            </w:r>
          </w:p>
        </w:tc>
      </w:tr>
      <w:tr w14:paraId="0C847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04C0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P1事件恢复时间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E65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≤2小时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BFB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从接单到提供应急方案/恢复服务的时间差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A411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事件报告，月报汇总</w:t>
            </w:r>
          </w:p>
        </w:tc>
      </w:tr>
      <w:tr w14:paraId="6306D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A09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服务请求解决率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2DE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P1/P2: 100%；P3: ≥95%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2E9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（解决工单数/总工单数）*100%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CBEE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周报、月报</w:t>
            </w:r>
          </w:p>
        </w:tc>
      </w:tr>
      <w:tr w14:paraId="36B9C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A5E2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知识库季度更新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405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按合同8.2条交付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B5DF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交付符合标准的《知识库更新包》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30E9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季度交付物</w:t>
            </w:r>
          </w:p>
        </w:tc>
      </w:tr>
      <w:tr w14:paraId="1D23B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A7DA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用户满意度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F12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依据合同8.1条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285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基于工单关闭后的回访评分（1-5分）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229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月报（平均分）</w:t>
            </w:r>
          </w:p>
        </w:tc>
      </w:tr>
    </w:tbl>
    <w:p w14:paraId="7FBA0920">
      <w:pPr>
        <w:pStyle w:val="28"/>
        <w:bidi w:val="0"/>
        <w:rPr>
          <w:rFonts w:hint="default"/>
          <w:lang w:val="en-US" w:eastAsia="zh-CN"/>
        </w:rPr>
      </w:pPr>
      <w:bookmarkStart w:id="11" w:name="_Toc24478"/>
      <w:r>
        <w:rPr>
          <w:rFonts w:hint="default"/>
          <w:lang w:val="en-US" w:eastAsia="zh-CN"/>
        </w:rPr>
        <w:t>沟通与报告机制</w:t>
      </w:r>
      <w:bookmarkEnd w:id="11"/>
    </w:p>
    <w:p w14:paraId="0262E1B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为履行合同第七条（乙方权利义务），建立以下沟通机制：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1106"/>
        <w:gridCol w:w="3129"/>
        <w:gridCol w:w="1718"/>
        <w:gridCol w:w="1241"/>
      </w:tblGrid>
      <w:tr w14:paraId="35977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B3B2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报告/会议</w:t>
            </w:r>
          </w:p>
        </w:tc>
        <w:tc>
          <w:tcPr>
            <w:tcW w:w="11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D2A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频率</w:t>
            </w:r>
          </w:p>
        </w:tc>
        <w:tc>
          <w:tcPr>
            <w:tcW w:w="3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276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主要内容</w:t>
            </w:r>
          </w:p>
        </w:tc>
        <w:tc>
          <w:tcPr>
            <w:tcW w:w="17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CFE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参与方</w:t>
            </w:r>
          </w:p>
        </w:tc>
        <w:tc>
          <w:tcPr>
            <w:tcW w:w="12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F91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目的</w:t>
            </w:r>
          </w:p>
        </w:tc>
      </w:tr>
      <w:tr w14:paraId="14358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5496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服务日报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6FD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每个工作日</w:t>
            </w:r>
          </w:p>
        </w:tc>
        <w:tc>
          <w:tcPr>
            <w:tcW w:w="3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815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前一日重大事件、待处理P1/P2清单、系统健康状态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8F3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邮件发送甲方接口人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342F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透明化运营状态</w:t>
            </w:r>
          </w:p>
        </w:tc>
      </w:tr>
      <w:tr w14:paraId="3322C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5325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服务月报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242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3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41D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上月SLA达成情况、工单分析、知识库更新、改进计划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284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项目经理提交，双方评审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4C90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定期评估，持续改进</w:t>
            </w:r>
          </w:p>
        </w:tc>
      </w:tr>
      <w:tr w14:paraId="60A1D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2656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季度联席会议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247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3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F79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复盘季度服务、评审知识库交付物、规划下阶段重点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E74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双方项目负责人及核心成员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4CD6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战略对齐，深化合作</w:t>
            </w:r>
          </w:p>
        </w:tc>
      </w:tr>
      <w:tr w14:paraId="28574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B228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专项报告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941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事件触发</w:t>
            </w:r>
          </w:p>
        </w:tc>
        <w:tc>
          <w:tcPr>
            <w:tcW w:w="3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588C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重大事件（P1/P2）的根因分析报告、服务连续性演练报告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E49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事件相关方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30B6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复盘学习，完善预案</w:t>
            </w:r>
          </w:p>
        </w:tc>
      </w:tr>
    </w:tbl>
    <w:p w14:paraId="40E957FB">
      <w:pPr>
        <w:pStyle w:val="28"/>
        <w:bidi w:val="0"/>
        <w:rPr>
          <w:rFonts w:hint="default"/>
          <w:lang w:val="en-US" w:eastAsia="zh-CN"/>
        </w:rPr>
      </w:pPr>
      <w:bookmarkStart w:id="12" w:name="_Toc11588"/>
      <w:r>
        <w:rPr>
          <w:rFonts w:hint="default"/>
          <w:lang w:val="en-US" w:eastAsia="zh-CN"/>
        </w:rPr>
        <w:t>交付物与验收计划</w:t>
      </w:r>
      <w:bookmarkEnd w:id="12"/>
    </w:p>
    <w:p w14:paraId="38BCA4A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根据合同第八条，明确以下关键交付物及验收流程：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1158"/>
        <w:gridCol w:w="3382"/>
        <w:gridCol w:w="1874"/>
      </w:tblGrid>
      <w:tr w14:paraId="60A35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3EA0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C2E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交付频率/时间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CE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验收标准（依据合同）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27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验收方</w:t>
            </w:r>
          </w:p>
        </w:tc>
      </w:tr>
      <w:tr w14:paraId="4CC63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0AF6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《知识库更新包》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851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3C6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内容符合业务实际，结构符合标准模板（合同3.5, 8.2条）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335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甲方（15个工作日内）</w:t>
            </w:r>
          </w:p>
        </w:tc>
      </w:tr>
      <w:tr w14:paraId="5D77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E1C0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《服务月报》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E03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45B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内容完整，数据真实反映上月服务情况（合同7.2条）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104C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甲方（阅知确认）</w:t>
            </w:r>
          </w:p>
        </w:tc>
      </w:tr>
      <w:tr w14:paraId="629D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742A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《项目总结报告》及完整知识库资产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44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服务期满后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A5B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报告全面总结项目成果，知识库资产完整可用（合同8.3条）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00FA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甲方（30个工作日内组织终验）</w:t>
            </w:r>
          </w:p>
        </w:tc>
      </w:tr>
      <w:tr w14:paraId="2764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24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日常服务（单次请求）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14D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9AE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问题解决，用户满意（合同8.1条）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2DB1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甲方终端用户</w:t>
            </w:r>
          </w:p>
        </w:tc>
      </w:tr>
    </w:tbl>
    <w:p w14:paraId="09C8E9FC">
      <w:pPr>
        <w:pStyle w:val="28"/>
        <w:bidi w:val="0"/>
        <w:rPr>
          <w:rFonts w:hint="default"/>
          <w:lang w:val="en-US" w:eastAsia="zh-CN"/>
        </w:rPr>
      </w:pPr>
      <w:bookmarkStart w:id="13" w:name="_Toc31602"/>
      <w:r>
        <w:rPr>
          <w:rFonts w:hint="default"/>
          <w:lang w:val="en-US" w:eastAsia="zh-CN"/>
        </w:rPr>
        <w:t>质量保障与风险控制</w:t>
      </w:r>
      <w:bookmarkEnd w:id="13"/>
    </w:p>
    <w:p w14:paraId="320A5EC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质量保障：由质量管理部通过定期SLA审计、流程合规性检查、人员技能认证（基于知识库）保障服务质量。</w:t>
      </w:r>
    </w:p>
    <w:p w14:paraId="4B463A1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风险控制：</w:t>
      </w:r>
    </w:p>
    <w:p w14:paraId="2BABA6E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人员风险：严格执行“主备岗”制度，关键岗位人员备份率达到100%。</w:t>
      </w:r>
    </w:p>
    <w:p w14:paraId="459BEAF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技术风险：对于复杂变更或修复，严格执行在测试环境验证、灰度发布的流程。</w:t>
      </w:r>
    </w:p>
    <w:p w14:paraId="5385100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连续性风险：按计划执行服务连续性演练，确保应急预案有效。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EF85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E4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1447</Words>
  <Characters>1579</Characters>
  <Lines>0</Lines>
  <Paragraphs>0</Paragraphs>
  <TotalTime>0</TotalTime>
  <ScaleCrop>false</ScaleCrop>
  <LinksUpToDate>false</LinksUpToDate>
  <CharactersWithSpaces>1605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