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2B0B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11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639422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891"/>
      <w:r>
        <w:rPr>
          <w:rFonts w:hint="eastAsia"/>
          <w:lang w:val="en-US" w:eastAsia="zh-CN"/>
        </w:rPr>
        <w:t>翔云系统运维服务项目-改进方案</w:t>
      </w:r>
      <w:bookmarkEnd w:id="1"/>
    </w:p>
    <w:p w14:paraId="2E4892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EB1F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C0D52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3484C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9F99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8D7BA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31D3D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0F583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654DB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063E2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481AC0C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462D1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CC97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FA5AF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6D00F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D4522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52FB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C9EF3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72A53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1867A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E9165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842E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23ED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F166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EF7F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2A9F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104D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0952C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74422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FF374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678A5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1987C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41FC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2AE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2E9B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AFE25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56562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544D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AD76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4DCBF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B5305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4773A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F27C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53D3D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CF5CD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504A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A0633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4D1EE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9BD5BB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8D612D">
          <w:pPr>
            <w:pStyle w:val="16"/>
            <w:tabs>
              <w:tab w:val="right" w:leader="dot" w:pos="8306"/>
            </w:tabs>
          </w:pPr>
          <w:bookmarkStart w:id="6" w:name="_GoBack"/>
          <w:bookmarkEnd w:id="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_Toc13113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E3F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翔云系统运维服务项目-改进方案</w:t>
          </w:r>
          <w:r>
            <w:tab/>
          </w:r>
          <w:r>
            <w:fldChar w:fldCharType="begin"/>
          </w:r>
          <w:r>
            <w:instrText xml:space="preserve"> PAGEREF _Toc21891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A205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改进目标</w:t>
          </w:r>
          <w:r>
            <w:tab/>
          </w:r>
          <w:r>
            <w:fldChar w:fldCharType="begin"/>
          </w:r>
          <w:r>
            <w:instrText xml:space="preserve"> PAGEREF _Toc17558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8EC7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改进措施与计划</w:t>
          </w:r>
          <w:r>
            <w:tab/>
          </w:r>
          <w:r>
            <w:fldChar w:fldCharType="begin"/>
          </w:r>
          <w:r>
            <w:instrText xml:space="preserve"> PAGEREF _Toc4403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8272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实施与跟踪机制</w:t>
          </w:r>
          <w:r>
            <w:tab/>
          </w:r>
          <w:r>
            <w:fldChar w:fldCharType="begin"/>
          </w:r>
          <w:r>
            <w:instrText xml:space="preserve"> PAGEREF _Toc19145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AA2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总结</w:t>
          </w:r>
          <w:r>
            <w:tab/>
          </w:r>
          <w:r>
            <w:fldChar w:fldCharType="begin"/>
          </w:r>
          <w:r>
            <w:instrText xml:space="preserve"> PAGEREF _Toc14579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4E32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41206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31486E3">
      <w:pPr>
        <w:pStyle w:val="28"/>
        <w:bidi w:val="0"/>
        <w:rPr>
          <w:rFonts w:hint="default"/>
          <w:lang w:val="en-US" w:eastAsia="zh-CN"/>
        </w:rPr>
      </w:pPr>
      <w:bookmarkStart w:id="2" w:name="_Toc17558"/>
      <w:r>
        <w:rPr>
          <w:rFonts w:hint="default"/>
          <w:lang w:val="en-US" w:eastAsia="zh-CN"/>
        </w:rPr>
        <w:t>改进目标</w:t>
      </w:r>
      <w:bookmarkEnd w:id="2"/>
    </w:p>
    <w:p w14:paraId="0A232D1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基于《实施方案》设定的服务目标，结合《巡检报告》与《总结报告》中揭示的系统运行状态、风险点及效能分析，制定本改进方案，旨在：</w:t>
      </w:r>
    </w:p>
    <w:p w14:paraId="1537B3E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强化风险管控：针对已识别的中、低风险项，制定具体、可落地的应对措施。</w:t>
      </w:r>
    </w:p>
    <w:p w14:paraId="5461197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提升服务效能：优化现有流程与机制，进一步提升响应效率、知识复用率和用户满意度。</w:t>
      </w:r>
    </w:p>
    <w:p w14:paraId="77D910A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保障持续优化：建立持续改进的闭环机制，确保运维服务能动态适应业务变化与系统发展。</w:t>
      </w:r>
    </w:p>
    <w:p w14:paraId="0775A8CD">
      <w:pPr>
        <w:pStyle w:val="28"/>
        <w:bidi w:val="0"/>
        <w:rPr>
          <w:rFonts w:hint="default"/>
          <w:lang w:val="en-US" w:eastAsia="zh-CN"/>
        </w:rPr>
      </w:pPr>
      <w:bookmarkStart w:id="3" w:name="_Toc4403"/>
      <w:r>
        <w:rPr>
          <w:rFonts w:hint="default"/>
          <w:lang w:val="en-US" w:eastAsia="zh-CN"/>
        </w:rPr>
        <w:t>改进措施与计划</w:t>
      </w:r>
      <w:bookmarkEnd w:id="3"/>
    </w:p>
    <w:p w14:paraId="7518C88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以下改进措施基于三份文件内容整合提炼，分为风险应对类、流程优化类和能力增强类。</w:t>
      </w:r>
    </w:p>
    <w:tbl>
      <w:tblPr>
        <w:tblStyle w:val="20"/>
        <w:tblW w:w="85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992"/>
        <w:gridCol w:w="2001"/>
        <w:gridCol w:w="1890"/>
        <w:gridCol w:w="1092"/>
        <w:gridCol w:w="1540"/>
      </w:tblGrid>
      <w:tr w14:paraId="308FF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6888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7FD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</w:t>
            </w:r>
          </w:p>
        </w:tc>
        <w:tc>
          <w:tcPr>
            <w:tcW w:w="20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84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问题/机会描述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45E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具体措施</w:t>
            </w:r>
          </w:p>
        </w:tc>
        <w:tc>
          <w:tcPr>
            <w:tcW w:w="10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DCB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5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8B1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验收标准</w:t>
            </w:r>
          </w:p>
        </w:tc>
      </w:tr>
      <w:tr w14:paraId="11B48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4755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风险应对类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B01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存储容量管理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D84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主存储空间月增1.8%，预计6个月后触及预警线。（源于巡检报告）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72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立即启动存储数据生命周期复审，清理历史测试数据、临时文件及无效日志。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制定《存储数据清理规范》，并纳入日常运维手册。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评估存储扩容需求，编制预算方案，纳入下季度规划。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CBD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6964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存储使用率稳定在70%以下；建立常态化清理机制。</w:t>
            </w:r>
          </w:p>
        </w:tc>
      </w:tr>
      <w:tr w14:paraId="3BB5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B1C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476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外部接口稳定性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992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与四川集采系统的状态回写接口偶发延迟，影响状态同步。（源于巡检报告）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4F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与对方系统管理员建立点对点沟通群组，确保故障信息同步。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优化我方接口调用的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重试策略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超时阈值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，增强容错能力。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将该接口纳入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增强监控看板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，设置独立告警规则。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D0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EA4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接口月度失败率降至0.01%以下；建立联合应急流程。</w:t>
            </w:r>
          </w:p>
        </w:tc>
      </w:tr>
      <w:tr w14:paraId="59661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8C4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62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系统安全更新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4DE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存在待安装的系统安全补丁，存在潜在安全风险。（源于巡检报告）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4E4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在12月预定维护窗口（非业务高峰时段）进行补丁在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的验证。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制定分批次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灰度发布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计划，降低生产环境更新风险。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更新《系统补丁管理流程》文档。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C6B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B98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安全补丁成功安装并验证无业务影响；流程文档更新完毕。</w:t>
            </w:r>
          </w:p>
        </w:tc>
      </w:tr>
      <w:tr w14:paraId="12C76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0E24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流程优化类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489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知识闭环强化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A83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知识关联解决率已达68%，仍有提升空间；知识条目来源可更结构化。（源于巡检及总结报告）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766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在工单关闭环节，强制要求解决者勾选“是否可提炼为新知识”或“关联现有知识条目”。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设立“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知识贡献奖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”，每月表彰优秀知识条目贡献者。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优化知识库检索界面与智能推荐算法。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58B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2026年Q1持续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5853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知识关联解决率提升至75%以上；月度新增优质知识条目增长15%。</w:t>
            </w:r>
          </w:p>
        </w:tc>
      </w:tr>
      <w:tr w14:paraId="439D6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13A3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69A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服务请求分级细化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481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当前P1-P4分级规则可进一步与业务影响度、涉及模块深度绑定。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AB1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协同甲方业务专家，修订《服务请求分级判定细则》，增加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财务关账期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重大项目上线期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等特殊时段的响应标准。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对服务台团队进行新规培训与考核。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B8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9E2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发布新版分级细则；服务台定级准确率提升至95%。</w:t>
            </w:r>
          </w:p>
        </w:tc>
      </w:tr>
      <w:tr w14:paraId="367B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56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能力增强类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4FC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“预算预占”机制深度分析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197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需验证该核心财务控制机制的全局准确性与性能。（源于巡检报告下月预告）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A6A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开展“项目预算预占”全链路（从申请、执行到释放）数据一致性审计。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分析该流程在高并发场景下的性能瓶颈，提出优化建议。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05F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6835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产出《预算预占机制分析报告》，包含数据一致性结论与至少一项优化建议。</w:t>
            </w:r>
          </w:p>
        </w:tc>
      </w:tr>
      <w:tr w14:paraId="3F16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3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A2CA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BE2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应急演练深化</w:t>
            </w:r>
          </w:p>
        </w:tc>
        <w:tc>
          <w:tcPr>
            <w:tcW w:w="20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373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需提升对特定技术场景（如数据库性能）的应急响应能力。（源于巡检报告下月预告）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09C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组织“数据库慢查询优化”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，明确各角色职责与处理步骤。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将推演结果固化为《数据库性能应急手册》补充章节。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6CF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961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完成推演并输出手册更新；关键岗位人员熟悉新流程。</w:t>
            </w:r>
          </w:p>
        </w:tc>
      </w:tr>
    </w:tbl>
    <w:p w14:paraId="6F01ADBB">
      <w:pPr>
        <w:pStyle w:val="28"/>
        <w:bidi w:val="0"/>
        <w:rPr>
          <w:rFonts w:hint="default"/>
          <w:lang w:val="en-US" w:eastAsia="zh-CN"/>
        </w:rPr>
      </w:pPr>
      <w:bookmarkStart w:id="4" w:name="_Toc19145"/>
      <w:r>
        <w:rPr>
          <w:rFonts w:hint="default"/>
          <w:lang w:val="en-US" w:eastAsia="zh-CN"/>
        </w:rPr>
        <w:t>实施与跟踪机制</w:t>
      </w:r>
      <w:bookmarkEnd w:id="4"/>
    </w:p>
    <w:p w14:paraId="40AF9F2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纳入项目计划：本改进方案将作为《项目实施方案》的补充附件，相关任务纳入项目经理的总体交付计划进行跟踪。</w:t>
      </w:r>
    </w:p>
    <w:p w14:paraId="60FB31A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定期回顾：上述改进措施的执行情况与成效，将在每月服务月报及季度联席会议中设立专项议题进行汇报与评审。</w:t>
      </w:r>
    </w:p>
    <w:p w14:paraId="46163B8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验收闭环：每项改进措施完成后，由责任团队提供结果证据（如报告、文档、监控截图），经项目经理确认后，提交甲方接口人阅知备案，形成改进闭环。</w:t>
      </w:r>
    </w:p>
    <w:p w14:paraId="63DDCCE1">
      <w:pPr>
        <w:pStyle w:val="28"/>
        <w:bidi w:val="0"/>
        <w:rPr>
          <w:rFonts w:hint="default"/>
          <w:lang w:val="en-US" w:eastAsia="zh-CN"/>
        </w:rPr>
      </w:pPr>
      <w:bookmarkStart w:id="5" w:name="_Toc14579"/>
      <w:r>
        <w:rPr>
          <w:rFonts w:hint="default"/>
          <w:lang w:val="en-US" w:eastAsia="zh-CN"/>
        </w:rPr>
        <w:t>总结</w:t>
      </w:r>
      <w:bookmarkEnd w:id="5"/>
    </w:p>
    <w:p w14:paraId="695E72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改进方案紧扣项目运行初期的实际情况，旨在将被动响应转化为主动优化，将风险隐患控制于萌芽阶段。通过系统性实施上述措施，预期将进一步提升翔云系统运维服务的稳定性、效率与前瞻性，为全面达成年度服务目标奠定坚实基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985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CBE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623</Words>
  <Characters>700</Characters>
  <Lines>0</Lines>
  <Paragraphs>0</Paragraphs>
  <TotalTime>0</TotalTime>
  <ScaleCrop>false</ScaleCrop>
  <LinksUpToDate>false</LinksUpToDate>
  <CharactersWithSpaces>741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2026-02-03T21:16:02Z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