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文件编号：ITSS-01-01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1"/>
        <w:bidi w:val="0"/>
      </w:pPr>
      <w:bookmarkStart w:id="0" w:name="_Toc4520"/>
      <w:r>
        <w:rPr>
          <w:rFonts w:hint="eastAsia"/>
          <w:lang w:val="en-US" w:eastAsia="zh-CN"/>
        </w:rPr>
        <w:t>万洲奇智（青岛）信息科技有限</w:t>
      </w:r>
      <w:r>
        <w:t>公司</w:t>
      </w:r>
      <w:bookmarkEnd w:id="0"/>
    </w:p>
    <w:p w14:paraId="3D74D20A">
      <w:pPr>
        <w:pStyle w:val="22"/>
        <w:bidi w:val="0"/>
        <w:rPr>
          <w:rFonts w:hint="eastAsia" w:eastAsia="黑体"/>
          <w:lang w:val="en-US" w:eastAsia="zh-CN"/>
        </w:rPr>
      </w:pPr>
      <w:bookmarkStart w:id="1" w:name="_Toc23229"/>
      <w:r>
        <w:t>运维服务目录管理</w:t>
      </w:r>
      <w:r>
        <w:rPr>
          <w:rFonts w:hint="eastAsia"/>
          <w:lang w:val="en-US" w:eastAsia="zh-CN"/>
        </w:rPr>
        <w:t>制度</w:t>
      </w:r>
      <w:bookmarkEnd w:id="1"/>
    </w:p>
    <w:tbl>
      <w:tblPr>
        <w:tblStyle w:val="19"/>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3"/>
        <w:tblW w:w="849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238"/>
        <w:gridCol w:w="1245"/>
        <w:gridCol w:w="1245"/>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23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245"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5"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rPr>
                <w:rFonts w:ascii="宋体" w:hAnsi="宋体" w:eastAsia="宋体" w:cs="宋体"/>
                <w:sz w:val="20"/>
                <w:szCs w:val="20"/>
              </w:rPr>
            </w:pPr>
            <w:r>
              <w:rPr>
                <w:rFonts w:ascii="宋体" w:hAnsi="宋体" w:eastAsia="宋体" w:cs="宋体"/>
                <w:spacing w:val="7"/>
                <w:sz w:val="20"/>
                <w:szCs w:val="20"/>
              </w:rPr>
              <w:t>新建文档</w:t>
            </w:r>
          </w:p>
        </w:tc>
        <w:tc>
          <w:tcPr>
            <w:tcW w:w="1238" w:type="dxa"/>
            <w:vAlign w:val="top"/>
          </w:tcPr>
          <w:p w14:paraId="5387AEE3">
            <w:pPr>
              <w:spacing w:before="172" w:line="228" w:lineRule="auto"/>
              <w:ind w:left="313"/>
              <w:rPr>
                <w:rFonts w:ascii="宋体" w:hAnsi="宋体" w:eastAsia="宋体" w:cs="宋体"/>
                <w:sz w:val="20"/>
                <w:szCs w:val="20"/>
              </w:rPr>
            </w:pPr>
            <w:r>
              <w:rPr>
                <w:rFonts w:hint="eastAsia" w:ascii="宋体" w:hAnsi="宋体" w:eastAsia="宋体" w:cs="宋体"/>
                <w:spacing w:val="5"/>
                <w:sz w:val="20"/>
                <w:szCs w:val="20"/>
              </w:rPr>
              <w:t>毛彦超</w:t>
            </w:r>
          </w:p>
        </w:tc>
        <w:tc>
          <w:tcPr>
            <w:tcW w:w="1245"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5"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4"/>
            </w:pPr>
          </w:p>
        </w:tc>
        <w:tc>
          <w:tcPr>
            <w:tcW w:w="919" w:type="dxa"/>
            <w:vAlign w:val="top"/>
          </w:tcPr>
          <w:p w14:paraId="218F3AD4">
            <w:pPr>
              <w:pStyle w:val="24"/>
            </w:pPr>
          </w:p>
        </w:tc>
        <w:tc>
          <w:tcPr>
            <w:tcW w:w="2289" w:type="dxa"/>
            <w:vAlign w:val="top"/>
          </w:tcPr>
          <w:p w14:paraId="15EFA507">
            <w:pPr>
              <w:pStyle w:val="24"/>
            </w:pPr>
          </w:p>
        </w:tc>
        <w:tc>
          <w:tcPr>
            <w:tcW w:w="1238" w:type="dxa"/>
            <w:vAlign w:val="top"/>
          </w:tcPr>
          <w:p w14:paraId="70C086CB">
            <w:pPr>
              <w:spacing w:before="172" w:line="228" w:lineRule="auto"/>
              <w:ind w:left="313"/>
            </w:pPr>
          </w:p>
        </w:tc>
        <w:tc>
          <w:tcPr>
            <w:tcW w:w="1245" w:type="dxa"/>
            <w:vAlign w:val="top"/>
          </w:tcPr>
          <w:p w14:paraId="35AEC507">
            <w:pPr>
              <w:spacing w:before="172" w:line="228" w:lineRule="auto"/>
              <w:ind w:left="313"/>
            </w:pPr>
          </w:p>
        </w:tc>
        <w:tc>
          <w:tcPr>
            <w:tcW w:w="1245" w:type="dxa"/>
            <w:vAlign w:val="top"/>
          </w:tcPr>
          <w:p w14:paraId="6E8FD876">
            <w:pPr>
              <w:pStyle w:val="24"/>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4"/>
            </w:pPr>
          </w:p>
        </w:tc>
        <w:tc>
          <w:tcPr>
            <w:tcW w:w="919" w:type="dxa"/>
            <w:vAlign w:val="top"/>
          </w:tcPr>
          <w:p w14:paraId="09634355">
            <w:pPr>
              <w:pStyle w:val="24"/>
            </w:pPr>
          </w:p>
        </w:tc>
        <w:tc>
          <w:tcPr>
            <w:tcW w:w="2289" w:type="dxa"/>
            <w:vAlign w:val="top"/>
          </w:tcPr>
          <w:p w14:paraId="5EE6029F">
            <w:pPr>
              <w:pStyle w:val="24"/>
            </w:pPr>
          </w:p>
        </w:tc>
        <w:tc>
          <w:tcPr>
            <w:tcW w:w="1238" w:type="dxa"/>
            <w:vAlign w:val="top"/>
          </w:tcPr>
          <w:p w14:paraId="38EDD11A">
            <w:pPr>
              <w:spacing w:before="173" w:line="229" w:lineRule="auto"/>
              <w:ind w:left="314"/>
            </w:pPr>
          </w:p>
        </w:tc>
        <w:tc>
          <w:tcPr>
            <w:tcW w:w="1245" w:type="dxa"/>
            <w:vAlign w:val="top"/>
          </w:tcPr>
          <w:p w14:paraId="4B30AD5C">
            <w:pPr>
              <w:spacing w:before="173" w:line="229" w:lineRule="auto"/>
              <w:ind w:left="314"/>
            </w:pPr>
          </w:p>
        </w:tc>
        <w:tc>
          <w:tcPr>
            <w:tcW w:w="1245" w:type="dxa"/>
            <w:vAlign w:val="top"/>
          </w:tcPr>
          <w:p w14:paraId="6FBCF8FF">
            <w:pPr>
              <w:pStyle w:val="24"/>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4"/>
            </w:pPr>
          </w:p>
        </w:tc>
        <w:tc>
          <w:tcPr>
            <w:tcW w:w="919" w:type="dxa"/>
            <w:vAlign w:val="top"/>
          </w:tcPr>
          <w:p w14:paraId="1BBFCF07">
            <w:pPr>
              <w:pStyle w:val="24"/>
            </w:pPr>
          </w:p>
        </w:tc>
        <w:tc>
          <w:tcPr>
            <w:tcW w:w="2289" w:type="dxa"/>
            <w:vAlign w:val="top"/>
          </w:tcPr>
          <w:p w14:paraId="238EACEC">
            <w:pPr>
              <w:pStyle w:val="24"/>
            </w:pPr>
          </w:p>
        </w:tc>
        <w:tc>
          <w:tcPr>
            <w:tcW w:w="1238" w:type="dxa"/>
            <w:vAlign w:val="top"/>
          </w:tcPr>
          <w:p w14:paraId="75E51CC0">
            <w:pPr>
              <w:pStyle w:val="24"/>
            </w:pPr>
          </w:p>
        </w:tc>
        <w:tc>
          <w:tcPr>
            <w:tcW w:w="1245" w:type="dxa"/>
            <w:vAlign w:val="top"/>
          </w:tcPr>
          <w:p w14:paraId="06FF3C1B">
            <w:pPr>
              <w:pStyle w:val="24"/>
            </w:pPr>
          </w:p>
        </w:tc>
        <w:tc>
          <w:tcPr>
            <w:tcW w:w="1245" w:type="dxa"/>
            <w:vAlign w:val="top"/>
          </w:tcPr>
          <w:p w14:paraId="5C8B1A3D">
            <w:pPr>
              <w:pStyle w:val="24"/>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4"/>
            </w:pPr>
          </w:p>
        </w:tc>
        <w:tc>
          <w:tcPr>
            <w:tcW w:w="919" w:type="dxa"/>
            <w:vAlign w:val="top"/>
          </w:tcPr>
          <w:p w14:paraId="22DED3EC">
            <w:pPr>
              <w:pStyle w:val="24"/>
            </w:pPr>
          </w:p>
        </w:tc>
        <w:tc>
          <w:tcPr>
            <w:tcW w:w="2289" w:type="dxa"/>
            <w:vAlign w:val="top"/>
          </w:tcPr>
          <w:p w14:paraId="22279F68">
            <w:pPr>
              <w:pStyle w:val="24"/>
            </w:pPr>
          </w:p>
        </w:tc>
        <w:tc>
          <w:tcPr>
            <w:tcW w:w="1238" w:type="dxa"/>
            <w:vAlign w:val="top"/>
          </w:tcPr>
          <w:p w14:paraId="451706B1">
            <w:pPr>
              <w:pStyle w:val="24"/>
            </w:pPr>
          </w:p>
        </w:tc>
        <w:tc>
          <w:tcPr>
            <w:tcW w:w="1245" w:type="dxa"/>
            <w:vAlign w:val="top"/>
          </w:tcPr>
          <w:p w14:paraId="4C95703C">
            <w:pPr>
              <w:pStyle w:val="24"/>
            </w:pPr>
          </w:p>
        </w:tc>
        <w:tc>
          <w:tcPr>
            <w:tcW w:w="1245" w:type="dxa"/>
            <w:vAlign w:val="top"/>
          </w:tcPr>
          <w:p w14:paraId="60889A79">
            <w:pPr>
              <w:pStyle w:val="24"/>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4"/>
            </w:pPr>
          </w:p>
        </w:tc>
        <w:tc>
          <w:tcPr>
            <w:tcW w:w="919" w:type="dxa"/>
            <w:vAlign w:val="top"/>
          </w:tcPr>
          <w:p w14:paraId="68D2552E">
            <w:pPr>
              <w:pStyle w:val="24"/>
            </w:pPr>
          </w:p>
        </w:tc>
        <w:tc>
          <w:tcPr>
            <w:tcW w:w="2289" w:type="dxa"/>
            <w:vAlign w:val="top"/>
          </w:tcPr>
          <w:p w14:paraId="1E79A586">
            <w:pPr>
              <w:pStyle w:val="24"/>
            </w:pPr>
          </w:p>
        </w:tc>
        <w:tc>
          <w:tcPr>
            <w:tcW w:w="1238" w:type="dxa"/>
            <w:vAlign w:val="top"/>
          </w:tcPr>
          <w:p w14:paraId="17919EEC">
            <w:pPr>
              <w:pStyle w:val="24"/>
            </w:pPr>
          </w:p>
        </w:tc>
        <w:tc>
          <w:tcPr>
            <w:tcW w:w="1245" w:type="dxa"/>
            <w:vAlign w:val="top"/>
          </w:tcPr>
          <w:p w14:paraId="2BB87D59">
            <w:pPr>
              <w:pStyle w:val="24"/>
            </w:pPr>
          </w:p>
        </w:tc>
        <w:tc>
          <w:tcPr>
            <w:tcW w:w="1245" w:type="dxa"/>
            <w:vAlign w:val="top"/>
          </w:tcPr>
          <w:p w14:paraId="4CCAE5FE">
            <w:pPr>
              <w:pStyle w:val="24"/>
            </w:pPr>
          </w:p>
        </w:tc>
      </w:tr>
    </w:tbl>
    <w:p w14:paraId="757D1BA6">
      <w:r>
        <w:br w:type="page"/>
      </w:r>
    </w:p>
    <w:sdt>
      <w:sdtPr>
        <w:rPr>
          <w:rFonts w:ascii="宋体" w:hAnsi="宋体" w:eastAsia="宋体" w:cs="Arial"/>
          <w:snapToGrid w:val="0"/>
          <w:color w:val="000000"/>
          <w:kern w:val="0"/>
          <w:sz w:val="21"/>
          <w:szCs w:val="21"/>
          <w:lang w:val="en-US" w:eastAsia="en-US" w:bidi="ar-SA"/>
        </w:rPr>
        <w:id w:val="147451503"/>
        <w15:color w:val="DBDBDB"/>
        <w:docPartObj>
          <w:docPartGallery w:val="Table of Contents"/>
          <w:docPartUnique/>
        </w:docPartObj>
      </w:sdtPr>
      <w:sdtEndPr>
        <w:rPr>
          <w:rFonts w:ascii="Arial" w:hAnsi="Arial" w:eastAsia="Arial" w:cs="Arial"/>
          <w:snapToGrid w:val="0"/>
          <w:color w:val="000000"/>
          <w:kern w:val="0"/>
          <w:sz w:val="21"/>
          <w:szCs w:val="21"/>
          <w:lang w:val="en-US" w:eastAsia="en-US" w:bidi="ar-SA"/>
        </w:rPr>
      </w:sdtEndPr>
      <w:sdtContent>
        <w:p w14:paraId="6E4E2A2F">
          <w:pPr>
            <w:jc w:val="center"/>
            <w:rPr>
              <w:rFonts w:hint="eastAsia" w:ascii="宋体" w:hAnsi="宋体" w:eastAsia="宋体" w:cs="宋体"/>
              <w:sz w:val="24"/>
              <w:szCs w:val="24"/>
            </w:rPr>
          </w:pPr>
          <w:r>
            <w:rPr>
              <w:rFonts w:hint="eastAsia" w:ascii="宋体" w:hAnsi="宋体" w:eastAsia="宋体" w:cs="宋体"/>
              <w:sz w:val="24"/>
              <w:szCs w:val="24"/>
            </w:rPr>
            <w:t>目录</w:t>
          </w:r>
        </w:p>
        <w:p w14:paraId="469139DB">
          <w:pPr>
            <w:pStyle w:val="15"/>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_Toc4520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_Toc4520 \h </w:instrText>
          </w:r>
          <w:r>
            <w:fldChar w:fldCharType="separate"/>
          </w:r>
          <w:r>
            <w:t>1</w:t>
          </w:r>
          <w:r>
            <w:fldChar w:fldCharType="end"/>
          </w:r>
          <w:r>
            <w:rPr>
              <w:rFonts w:hint="eastAsia" w:ascii="宋体" w:hAnsi="宋体" w:eastAsia="宋体" w:cs="宋体"/>
              <w:szCs w:val="24"/>
            </w:rPr>
            <w:fldChar w:fldCharType="end"/>
          </w:r>
        </w:p>
        <w:p w14:paraId="188C36B9">
          <w:pPr>
            <w:pStyle w:val="15"/>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_Toc23229 </w:instrText>
          </w:r>
          <w:r>
            <w:rPr>
              <w:rFonts w:hint="eastAsia" w:ascii="宋体" w:hAnsi="宋体" w:eastAsia="宋体" w:cs="宋体"/>
              <w:szCs w:val="24"/>
            </w:rPr>
            <w:fldChar w:fldCharType="separate"/>
          </w:r>
          <w:r>
            <w:t>运维服务目录管理</w:t>
          </w:r>
          <w:r>
            <w:rPr>
              <w:rFonts w:hint="eastAsia"/>
              <w:lang w:val="en-US" w:eastAsia="zh-CN"/>
            </w:rPr>
            <w:t>制度</w:t>
          </w:r>
          <w:r>
            <w:tab/>
          </w:r>
          <w:r>
            <w:fldChar w:fldCharType="begin"/>
          </w:r>
          <w:r>
            <w:instrText xml:space="preserve"> PAGEREF _Toc23229 \h </w:instrText>
          </w:r>
          <w:r>
            <w:fldChar w:fldCharType="separate"/>
          </w:r>
          <w:r>
            <w:t>1</w:t>
          </w:r>
          <w:r>
            <w:fldChar w:fldCharType="end"/>
          </w:r>
          <w:r>
            <w:rPr>
              <w:rFonts w:hint="eastAsia" w:ascii="宋体" w:hAnsi="宋体" w:eastAsia="宋体" w:cs="宋体"/>
              <w:szCs w:val="24"/>
            </w:rPr>
            <w:fldChar w:fldCharType="end"/>
          </w:r>
        </w:p>
        <w:p w14:paraId="68CA54C1">
          <w:pPr>
            <w:pStyle w:val="15"/>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_Toc11484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_Toc11484 \h </w:instrText>
          </w:r>
          <w:r>
            <w:fldChar w:fldCharType="separate"/>
          </w:r>
          <w:r>
            <w:t>4</w:t>
          </w:r>
          <w:r>
            <w:fldChar w:fldCharType="end"/>
          </w:r>
          <w:r>
            <w:rPr>
              <w:rFonts w:hint="eastAsia" w:ascii="宋体" w:hAnsi="宋体" w:eastAsia="宋体" w:cs="宋体"/>
              <w:szCs w:val="24"/>
            </w:rPr>
            <w:fldChar w:fldCharType="end"/>
          </w:r>
        </w:p>
        <w:p w14:paraId="6EDDF262">
          <w:pPr>
            <w:pStyle w:val="15"/>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_Toc9171 </w:instrText>
          </w:r>
          <w:r>
            <w:rPr>
              <w:rFonts w:hint="eastAsia" w:ascii="宋体" w:hAnsi="宋体" w:eastAsia="宋体" w:cs="宋体"/>
              <w:szCs w:val="24"/>
            </w:rPr>
            <w:fldChar w:fldCharType="separate"/>
          </w:r>
          <w:r>
            <w:rPr>
              <w:rFonts w:hint="default"/>
            </w:rPr>
            <w:t xml:space="preserve">2. </w:t>
          </w:r>
          <w:r>
            <w:t>适用范围</w:t>
          </w:r>
          <w:r>
            <w:tab/>
          </w:r>
          <w:r>
            <w:fldChar w:fldCharType="begin"/>
          </w:r>
          <w:r>
            <w:instrText xml:space="preserve"> PAGEREF _Toc9171 \h </w:instrText>
          </w:r>
          <w:r>
            <w:fldChar w:fldCharType="separate"/>
          </w:r>
          <w:r>
            <w:t>4</w:t>
          </w:r>
          <w:r>
            <w:fldChar w:fldCharType="end"/>
          </w:r>
          <w:r>
            <w:rPr>
              <w:rFonts w:hint="eastAsia" w:ascii="宋体" w:hAnsi="宋体" w:eastAsia="宋体" w:cs="宋体"/>
              <w:szCs w:val="24"/>
            </w:rPr>
            <w:fldChar w:fldCharType="end"/>
          </w:r>
        </w:p>
        <w:p w14:paraId="5FCF7F82">
          <w:pPr>
            <w:pStyle w:val="15"/>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_Toc22178 </w:instrText>
          </w:r>
          <w:r>
            <w:rPr>
              <w:rFonts w:hint="eastAsia" w:ascii="宋体" w:hAnsi="宋体" w:eastAsia="宋体" w:cs="宋体"/>
              <w:szCs w:val="24"/>
            </w:rPr>
            <w:fldChar w:fldCharType="separate"/>
          </w:r>
          <w:r>
            <w:rPr>
              <w:rFonts w:hint="default"/>
            </w:rPr>
            <w:t xml:space="preserve">3. </w:t>
          </w:r>
          <w:r>
            <w:t>职责</w:t>
          </w:r>
          <w:r>
            <w:tab/>
          </w:r>
          <w:r>
            <w:fldChar w:fldCharType="begin"/>
          </w:r>
          <w:r>
            <w:instrText xml:space="preserve"> PAGEREF _Toc22178 \h </w:instrText>
          </w:r>
          <w:r>
            <w:fldChar w:fldCharType="separate"/>
          </w:r>
          <w:r>
            <w:t>4</w:t>
          </w:r>
          <w:r>
            <w:fldChar w:fldCharType="end"/>
          </w:r>
          <w:r>
            <w:rPr>
              <w:rFonts w:hint="eastAsia" w:ascii="宋体" w:hAnsi="宋体" w:eastAsia="宋体" w:cs="宋体"/>
              <w:szCs w:val="24"/>
            </w:rPr>
            <w:fldChar w:fldCharType="end"/>
          </w:r>
        </w:p>
        <w:p w14:paraId="3619DD0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_Toc6156 </w:instrText>
          </w:r>
          <w:r>
            <w:rPr>
              <w:rFonts w:hint="eastAsia" w:ascii="宋体" w:hAnsi="宋体" w:eastAsia="宋体" w:cs="宋体"/>
              <w:szCs w:val="24"/>
            </w:rPr>
            <w:fldChar w:fldCharType="separate"/>
          </w:r>
          <w:r>
            <w:rPr>
              <w:rFonts w:hint="default"/>
            </w:rPr>
            <w:t xml:space="preserve">3.1. </w:t>
          </w:r>
          <w:r>
            <w:t>管理者代表</w:t>
          </w:r>
          <w:r>
            <w:tab/>
          </w:r>
          <w:r>
            <w:fldChar w:fldCharType="begin"/>
          </w:r>
          <w:r>
            <w:instrText xml:space="preserve"> PAGEREF _Toc6156 \h </w:instrText>
          </w:r>
          <w:r>
            <w:fldChar w:fldCharType="separate"/>
          </w:r>
          <w:r>
            <w:t>4</w:t>
          </w:r>
          <w:r>
            <w:fldChar w:fldCharType="end"/>
          </w:r>
          <w:r>
            <w:rPr>
              <w:rFonts w:hint="eastAsia" w:ascii="宋体" w:hAnsi="宋体" w:eastAsia="宋体" w:cs="宋体"/>
              <w:szCs w:val="24"/>
            </w:rPr>
            <w:fldChar w:fldCharType="end"/>
          </w:r>
        </w:p>
        <w:p w14:paraId="6E25E8A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_Toc9085 </w:instrText>
          </w:r>
          <w:r>
            <w:rPr>
              <w:rFonts w:hint="eastAsia" w:ascii="宋体" w:hAnsi="宋体" w:eastAsia="宋体" w:cs="宋体"/>
              <w:szCs w:val="24"/>
            </w:rPr>
            <w:fldChar w:fldCharType="separate"/>
          </w:r>
          <w:r>
            <w:rPr>
              <w:rFonts w:hint="default"/>
              <w:lang w:val="en-US" w:eastAsia="zh-CN"/>
            </w:rPr>
            <w:t xml:space="preserve">3.2. </w:t>
          </w:r>
          <w:r>
            <w:rPr>
              <w:rFonts w:hint="eastAsia"/>
              <w:lang w:val="en-US" w:eastAsia="zh-CN"/>
            </w:rPr>
            <w:t>人力部</w:t>
          </w:r>
          <w:r>
            <w:tab/>
          </w:r>
          <w:r>
            <w:fldChar w:fldCharType="begin"/>
          </w:r>
          <w:r>
            <w:instrText xml:space="preserve"> PAGEREF _Toc9085 \h </w:instrText>
          </w:r>
          <w:r>
            <w:fldChar w:fldCharType="separate"/>
          </w:r>
          <w:r>
            <w:t>4</w:t>
          </w:r>
          <w:r>
            <w:fldChar w:fldCharType="end"/>
          </w:r>
          <w:r>
            <w:rPr>
              <w:rFonts w:hint="eastAsia" w:ascii="宋体" w:hAnsi="宋体" w:eastAsia="宋体" w:cs="宋体"/>
              <w:szCs w:val="24"/>
            </w:rPr>
            <w:fldChar w:fldCharType="end"/>
          </w:r>
        </w:p>
        <w:p w14:paraId="3096C63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_Toc14988 </w:instrText>
          </w:r>
          <w:r>
            <w:rPr>
              <w:rFonts w:hint="eastAsia" w:ascii="宋体" w:hAnsi="宋体" w:eastAsia="宋体" w:cs="宋体"/>
              <w:szCs w:val="24"/>
            </w:rPr>
            <w:fldChar w:fldCharType="separate"/>
          </w:r>
          <w:r>
            <w:rPr>
              <w:rFonts w:hint="default"/>
              <w:lang w:val="en-US" w:eastAsia="zh-CN"/>
            </w:rPr>
            <w:t xml:space="preserve">3.3. </w:t>
          </w:r>
          <w:r>
            <w:rPr>
              <w:rFonts w:hint="eastAsia"/>
              <w:lang w:val="en-US" w:eastAsia="zh-CN"/>
            </w:rPr>
            <w:t>运维部</w:t>
          </w:r>
          <w:r>
            <w:tab/>
          </w:r>
          <w:r>
            <w:fldChar w:fldCharType="begin"/>
          </w:r>
          <w:r>
            <w:instrText xml:space="preserve"> PAGEREF _Toc14988 \h </w:instrText>
          </w:r>
          <w:r>
            <w:fldChar w:fldCharType="separate"/>
          </w:r>
          <w:r>
            <w:t>4</w:t>
          </w:r>
          <w:r>
            <w:fldChar w:fldCharType="end"/>
          </w:r>
          <w:r>
            <w:rPr>
              <w:rFonts w:hint="eastAsia" w:ascii="宋体" w:hAnsi="宋体" w:eastAsia="宋体" w:cs="宋体"/>
              <w:szCs w:val="24"/>
            </w:rPr>
            <w:fldChar w:fldCharType="end"/>
          </w:r>
        </w:p>
        <w:p w14:paraId="540D75CE">
          <w:pPr>
            <w:pStyle w:val="15"/>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_Toc4075 </w:instrText>
          </w:r>
          <w:r>
            <w:rPr>
              <w:rFonts w:hint="eastAsia" w:ascii="宋体" w:hAnsi="宋体" w:eastAsia="宋体" w:cs="宋体"/>
              <w:szCs w:val="24"/>
            </w:rPr>
            <w:fldChar w:fldCharType="separate"/>
          </w:r>
          <w:r>
            <w:rPr>
              <w:rFonts w:hint="default"/>
            </w:rPr>
            <w:t xml:space="preserve">4. </w:t>
          </w:r>
          <w:r>
            <w:t>具体内容</w:t>
          </w:r>
          <w:r>
            <w:tab/>
          </w:r>
          <w:r>
            <w:fldChar w:fldCharType="begin"/>
          </w:r>
          <w:r>
            <w:instrText xml:space="preserve"> PAGEREF _Toc4075 \h </w:instrText>
          </w:r>
          <w:r>
            <w:fldChar w:fldCharType="separate"/>
          </w:r>
          <w:r>
            <w:t>4</w:t>
          </w:r>
          <w:r>
            <w:fldChar w:fldCharType="end"/>
          </w:r>
          <w:r>
            <w:rPr>
              <w:rFonts w:hint="eastAsia" w:ascii="宋体" w:hAnsi="宋体" w:eastAsia="宋体" w:cs="宋体"/>
              <w:szCs w:val="24"/>
            </w:rPr>
            <w:fldChar w:fldCharType="end"/>
          </w:r>
        </w:p>
        <w:p w14:paraId="19660E1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_Toc11294 </w:instrText>
          </w:r>
          <w:r>
            <w:rPr>
              <w:rFonts w:hint="eastAsia" w:ascii="宋体" w:hAnsi="宋体" w:eastAsia="宋体" w:cs="宋体"/>
              <w:szCs w:val="24"/>
            </w:rPr>
            <w:fldChar w:fldCharType="separate"/>
          </w:r>
          <w:r>
            <w:rPr>
              <w:rFonts w:hint="default"/>
            </w:rPr>
            <w:t xml:space="preserve">4.1. </w:t>
          </w:r>
          <w:r>
            <w:t>建立服务目录</w:t>
          </w:r>
          <w:r>
            <w:tab/>
          </w:r>
          <w:r>
            <w:fldChar w:fldCharType="begin"/>
          </w:r>
          <w:r>
            <w:instrText xml:space="preserve"> PAGEREF _Toc11294 \h </w:instrText>
          </w:r>
          <w:r>
            <w:fldChar w:fldCharType="separate"/>
          </w:r>
          <w:r>
            <w:t>4</w:t>
          </w:r>
          <w:r>
            <w:fldChar w:fldCharType="end"/>
          </w:r>
          <w:r>
            <w:rPr>
              <w:rFonts w:hint="eastAsia" w:ascii="宋体" w:hAnsi="宋体" w:eastAsia="宋体" w:cs="宋体"/>
              <w:szCs w:val="24"/>
            </w:rPr>
            <w:fldChar w:fldCharType="end"/>
          </w:r>
        </w:p>
        <w:p w14:paraId="0F164D4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_Toc32449 </w:instrText>
          </w:r>
          <w:r>
            <w:rPr>
              <w:rFonts w:hint="eastAsia" w:ascii="宋体" w:hAnsi="宋体" w:eastAsia="宋体" w:cs="宋体"/>
              <w:szCs w:val="24"/>
            </w:rPr>
            <w:fldChar w:fldCharType="separate"/>
          </w:r>
          <w:r>
            <w:rPr>
              <w:rFonts w:hint="default"/>
            </w:rPr>
            <w:t xml:space="preserve">4.2. </w:t>
          </w:r>
          <w:r>
            <w:t>监控服务目录</w:t>
          </w:r>
          <w:r>
            <w:tab/>
          </w:r>
          <w:r>
            <w:fldChar w:fldCharType="begin"/>
          </w:r>
          <w:r>
            <w:instrText xml:space="preserve"> PAGEREF _Toc32449 \h </w:instrText>
          </w:r>
          <w:r>
            <w:fldChar w:fldCharType="separate"/>
          </w:r>
          <w:r>
            <w:t>5</w:t>
          </w:r>
          <w:r>
            <w:fldChar w:fldCharType="end"/>
          </w:r>
          <w:r>
            <w:rPr>
              <w:rFonts w:hint="eastAsia" w:ascii="宋体" w:hAnsi="宋体" w:eastAsia="宋体" w:cs="宋体"/>
              <w:szCs w:val="24"/>
            </w:rPr>
            <w:fldChar w:fldCharType="end"/>
          </w:r>
        </w:p>
        <w:p w14:paraId="56DF0A4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_Toc23700 </w:instrText>
          </w:r>
          <w:r>
            <w:rPr>
              <w:rFonts w:hint="eastAsia" w:ascii="宋体" w:hAnsi="宋体" w:eastAsia="宋体" w:cs="宋体"/>
              <w:szCs w:val="24"/>
            </w:rPr>
            <w:fldChar w:fldCharType="separate"/>
          </w:r>
          <w:r>
            <w:rPr>
              <w:rFonts w:hint="default"/>
            </w:rPr>
            <w:t xml:space="preserve">4.3. </w:t>
          </w:r>
          <w:r>
            <w:t>定期评审</w:t>
          </w:r>
          <w:r>
            <w:tab/>
          </w:r>
          <w:r>
            <w:fldChar w:fldCharType="begin"/>
          </w:r>
          <w:r>
            <w:instrText xml:space="preserve"> PAGEREF _Toc23700 \h </w:instrText>
          </w:r>
          <w:r>
            <w:fldChar w:fldCharType="separate"/>
          </w:r>
          <w:r>
            <w:t>5</w:t>
          </w:r>
          <w:r>
            <w:fldChar w:fldCharType="end"/>
          </w:r>
          <w:r>
            <w:rPr>
              <w:rFonts w:hint="eastAsia" w:ascii="宋体" w:hAnsi="宋体" w:eastAsia="宋体" w:cs="宋体"/>
              <w:szCs w:val="24"/>
            </w:rPr>
            <w:fldChar w:fldCharType="end"/>
          </w:r>
        </w:p>
        <w:p w14:paraId="5CAD8A2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_Toc8089 </w:instrText>
          </w:r>
          <w:r>
            <w:rPr>
              <w:rFonts w:hint="eastAsia" w:ascii="宋体" w:hAnsi="宋体" w:eastAsia="宋体" w:cs="宋体"/>
              <w:szCs w:val="24"/>
            </w:rPr>
            <w:fldChar w:fldCharType="separate"/>
          </w:r>
          <w:r>
            <w:rPr>
              <w:rFonts w:hint="default"/>
            </w:rPr>
            <w:t xml:space="preserve">4.4. </w:t>
          </w:r>
          <w:r>
            <w:t>修订和验证</w:t>
          </w:r>
          <w:r>
            <w:tab/>
          </w:r>
          <w:r>
            <w:fldChar w:fldCharType="begin"/>
          </w:r>
          <w:r>
            <w:instrText xml:space="preserve"> PAGEREF _Toc8089 \h </w:instrText>
          </w:r>
          <w:r>
            <w:fldChar w:fldCharType="separate"/>
          </w:r>
          <w:r>
            <w:t>6</w:t>
          </w:r>
          <w:r>
            <w:fldChar w:fldCharType="end"/>
          </w:r>
          <w:r>
            <w:rPr>
              <w:rFonts w:hint="eastAsia" w:ascii="宋体" w:hAnsi="宋体" w:eastAsia="宋体" w:cs="宋体"/>
              <w:szCs w:val="24"/>
            </w:rPr>
            <w:fldChar w:fldCharType="end"/>
          </w:r>
        </w:p>
        <w:p w14:paraId="2790511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_Toc26627 </w:instrText>
          </w:r>
          <w:r>
            <w:rPr>
              <w:rFonts w:hint="eastAsia" w:ascii="宋体" w:hAnsi="宋体" w:eastAsia="宋体" w:cs="宋体"/>
              <w:szCs w:val="24"/>
            </w:rPr>
            <w:fldChar w:fldCharType="separate"/>
          </w:r>
          <w:r>
            <w:rPr>
              <w:rFonts w:hint="default"/>
            </w:rPr>
            <w:t xml:space="preserve">4.5. </w:t>
          </w:r>
          <w:r>
            <w:t>服务目录的发布</w:t>
          </w:r>
          <w:r>
            <w:tab/>
          </w:r>
          <w:r>
            <w:fldChar w:fldCharType="begin"/>
          </w:r>
          <w:r>
            <w:instrText xml:space="preserve"> PAGEREF _Toc26627 \h </w:instrText>
          </w:r>
          <w:r>
            <w:fldChar w:fldCharType="separate"/>
          </w:r>
          <w:r>
            <w:t>6</w:t>
          </w:r>
          <w:r>
            <w:fldChar w:fldCharType="end"/>
          </w:r>
          <w:r>
            <w:rPr>
              <w:rFonts w:hint="eastAsia" w:ascii="宋体" w:hAnsi="宋体" w:eastAsia="宋体" w:cs="宋体"/>
              <w:szCs w:val="24"/>
            </w:rPr>
            <w:fldChar w:fldCharType="end"/>
          </w:r>
        </w:p>
        <w:p w14:paraId="5948AB4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_Toc9610 </w:instrText>
          </w:r>
          <w:r>
            <w:rPr>
              <w:rFonts w:hint="eastAsia" w:ascii="宋体" w:hAnsi="宋体" w:eastAsia="宋体" w:cs="宋体"/>
              <w:szCs w:val="24"/>
            </w:rPr>
            <w:fldChar w:fldCharType="separate"/>
          </w:r>
          <w:r>
            <w:rPr>
              <w:rFonts w:hint="default" w:ascii="宋体" w:hAnsi="宋体" w:eastAsia="宋体" w:cs="宋体"/>
              <w:szCs w:val="24"/>
            </w:rPr>
            <w:t xml:space="preserve">4.6. </w:t>
          </w:r>
          <w:r>
            <w:rPr>
              <w:rFonts w:ascii="宋体" w:hAnsi="宋体" w:eastAsia="宋体" w:cs="宋体"/>
              <w:spacing w:val="-2"/>
              <w:szCs w:val="24"/>
            </w:rPr>
            <w:t>服务目录的使用</w:t>
          </w:r>
          <w:r>
            <w:tab/>
          </w:r>
          <w:r>
            <w:fldChar w:fldCharType="begin"/>
          </w:r>
          <w:r>
            <w:instrText xml:space="preserve"> PAGEREF _Toc9610 \h </w:instrText>
          </w:r>
          <w:r>
            <w:fldChar w:fldCharType="separate"/>
          </w:r>
          <w:r>
            <w:t>6</w:t>
          </w:r>
          <w:r>
            <w:fldChar w:fldCharType="end"/>
          </w:r>
          <w:r>
            <w:rPr>
              <w:rFonts w:hint="eastAsia" w:ascii="宋体" w:hAnsi="宋体" w:eastAsia="宋体" w:cs="宋体"/>
              <w:szCs w:val="24"/>
            </w:rPr>
            <w:fldChar w:fldCharType="end"/>
          </w:r>
        </w:p>
        <w:p w14:paraId="6B96ED83">
          <w:pPr>
            <w:pStyle w:val="15"/>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_Toc1813 </w:instrText>
          </w:r>
          <w:r>
            <w:rPr>
              <w:rFonts w:hint="eastAsia" w:ascii="宋体" w:hAnsi="宋体" w:eastAsia="宋体" w:cs="宋体"/>
              <w:szCs w:val="24"/>
            </w:rPr>
            <w:fldChar w:fldCharType="separate"/>
          </w:r>
          <w:r>
            <w:rPr>
              <w:rFonts w:hint="default"/>
            </w:rPr>
            <w:t xml:space="preserve">5. </w:t>
          </w:r>
          <w:r>
            <w:t>相关记录</w:t>
          </w:r>
          <w:r>
            <w:tab/>
          </w:r>
          <w:r>
            <w:fldChar w:fldCharType="begin"/>
          </w:r>
          <w:r>
            <w:instrText xml:space="preserve"> PAGEREF _Toc1813 \h </w:instrText>
          </w:r>
          <w:r>
            <w:fldChar w:fldCharType="separate"/>
          </w:r>
          <w:r>
            <w:t>6</w:t>
          </w:r>
          <w:r>
            <w:fldChar w:fldCharType="end"/>
          </w:r>
          <w:r>
            <w:rPr>
              <w:rFonts w:hint="eastAsia" w:ascii="宋体" w:hAnsi="宋体" w:eastAsia="宋体" w:cs="宋体"/>
              <w:szCs w:val="24"/>
            </w:rPr>
            <w:fldChar w:fldCharType="end"/>
          </w:r>
        </w:p>
        <w:p w14:paraId="4A6DB9B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_Toc14527 </w:instrText>
          </w:r>
          <w:r>
            <w:rPr>
              <w:rFonts w:hint="eastAsia" w:ascii="宋体" w:hAnsi="宋体" w:eastAsia="宋体" w:cs="宋体"/>
              <w:szCs w:val="24"/>
            </w:rPr>
            <w:fldChar w:fldCharType="separate"/>
          </w:r>
          <w:r>
            <w:rPr>
              <w:rFonts w:ascii="宋体" w:hAnsi="宋体" w:eastAsia="宋体" w:cs="宋体"/>
              <w:spacing w:val="-2"/>
              <w:szCs w:val="24"/>
            </w:rPr>
            <w:t>《组织级运维服务目录》</w:t>
          </w:r>
          <w:r>
            <w:tab/>
          </w:r>
          <w:r>
            <w:fldChar w:fldCharType="begin"/>
          </w:r>
          <w:r>
            <w:instrText xml:space="preserve"> PAGEREF _Toc14527 \h </w:instrText>
          </w:r>
          <w:r>
            <w:fldChar w:fldCharType="separate"/>
          </w:r>
          <w:r>
            <w:t>6</w:t>
          </w:r>
          <w:r>
            <w:fldChar w:fldCharType="end"/>
          </w:r>
          <w:r>
            <w:rPr>
              <w:rFonts w:hint="eastAsia" w:ascii="宋体" w:hAnsi="宋体" w:eastAsia="宋体" w:cs="宋体"/>
              <w:szCs w:val="24"/>
            </w:rPr>
            <w:fldChar w:fldCharType="end"/>
          </w:r>
        </w:p>
        <w:p w14:paraId="13978D8A">
          <w:pPr>
            <w:rPr>
              <w:rFonts w:ascii="Arial" w:hAnsi="Arial" w:eastAsia="Arial" w:cs="Arial"/>
              <w:snapToGrid w:val="0"/>
              <w:color w:val="000000"/>
              <w:kern w:val="0"/>
              <w:sz w:val="21"/>
              <w:szCs w:val="21"/>
              <w:lang w:val="en-US" w:eastAsia="en-US" w:bidi="ar-SA"/>
            </w:rPr>
          </w:pPr>
          <w:r>
            <w:rPr>
              <w:rFonts w:hint="eastAsia" w:ascii="宋体" w:hAnsi="宋体" w:eastAsia="宋体" w:cs="宋体"/>
              <w:szCs w:val="24"/>
            </w:rPr>
            <w:fldChar w:fldCharType="end"/>
          </w:r>
        </w:p>
      </w:sdtContent>
    </w:sdt>
    <w:p w14:paraId="380AC245">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0194DACA">
      <w:pPr>
        <w:rPr>
          <w:rFonts w:ascii="Arial" w:hAnsi="Arial" w:eastAsia="Arial" w:cs="Arial"/>
          <w:snapToGrid w:val="0"/>
          <w:color w:val="000000"/>
          <w:kern w:val="0"/>
          <w:sz w:val="21"/>
          <w:szCs w:val="21"/>
          <w:lang w:val="en-US" w:eastAsia="en-US" w:bidi="ar-SA"/>
        </w:rPr>
      </w:pPr>
    </w:p>
    <w:p w14:paraId="3EAE7809">
      <w:pPr>
        <w:pStyle w:val="25"/>
        <w:bidi w:val="0"/>
      </w:pPr>
      <w:bookmarkStart w:id="2" w:name="_Toc11484"/>
      <w:r>
        <w:t>目的</w:t>
      </w:r>
      <w:bookmarkEnd w:id="2"/>
    </w:p>
    <w:p w14:paraId="769BCC3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ascii="宋体" w:hAnsi="宋体" w:eastAsia="宋体" w:cs="宋体"/>
          <w:spacing w:val="-1"/>
          <w:sz w:val="24"/>
          <w:szCs w:val="24"/>
        </w:rPr>
        <w:t>服务目录是运维服务能力管理的基础，它描述了公</w:t>
      </w:r>
      <w:r>
        <w:rPr>
          <w:rFonts w:ascii="宋体" w:hAnsi="宋体" w:eastAsia="宋体" w:cs="宋体"/>
          <w:spacing w:val="-2"/>
          <w:sz w:val="24"/>
          <w:szCs w:val="24"/>
        </w:rPr>
        <w:t>司可以为顾客提供哪些服务，一个良好的服务目录可以帮助用户识别什么服务对他们是有效的，它是SLA</w:t>
      </w:r>
      <w:r>
        <w:rPr>
          <w:rFonts w:ascii="宋体" w:hAnsi="宋体" w:eastAsia="宋体" w:cs="宋体"/>
          <w:spacing w:val="-3"/>
          <w:sz w:val="24"/>
          <w:szCs w:val="24"/>
        </w:rPr>
        <w:t>的基础。</w:t>
      </w:r>
    </w:p>
    <w:p w14:paraId="733B60C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为此公司要建立准确、有效的服务目标，对服务目录进行优化和管理，保证服务目录的持续、有效。</w:t>
      </w:r>
    </w:p>
    <w:p w14:paraId="655B0544">
      <w:pPr>
        <w:pStyle w:val="25"/>
        <w:bidi w:val="0"/>
      </w:pPr>
      <w:bookmarkStart w:id="3" w:name="bookmark3"/>
      <w:bookmarkEnd w:id="3"/>
      <w:bookmarkStart w:id="4" w:name="bookmark4"/>
      <w:bookmarkEnd w:id="4"/>
      <w:bookmarkStart w:id="5" w:name="_Toc9171"/>
      <w:r>
        <w:t>适用范围</w:t>
      </w:r>
      <w:bookmarkEnd w:id="5"/>
    </w:p>
    <w:p w14:paraId="475DE75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适用于公司组织级服务目录的建立、监控、更新等全过程管理。</w:t>
      </w:r>
    </w:p>
    <w:p w14:paraId="53DB5F34">
      <w:pPr>
        <w:pStyle w:val="25"/>
        <w:bidi w:val="0"/>
      </w:pPr>
      <w:bookmarkStart w:id="6" w:name="bookmark7"/>
      <w:bookmarkEnd w:id="6"/>
      <w:bookmarkStart w:id="7" w:name="bookmark6"/>
      <w:bookmarkEnd w:id="7"/>
      <w:bookmarkStart w:id="8" w:name="bookmark8"/>
      <w:bookmarkEnd w:id="8"/>
      <w:bookmarkStart w:id="9" w:name="bookmark5"/>
      <w:bookmarkEnd w:id="9"/>
      <w:bookmarkStart w:id="10" w:name="_Toc22178"/>
      <w:r>
        <w:t>职责</w:t>
      </w:r>
      <w:bookmarkEnd w:id="10"/>
    </w:p>
    <w:p w14:paraId="7B7154AB">
      <w:pPr>
        <w:pStyle w:val="26"/>
        <w:bidi w:val="0"/>
      </w:pPr>
      <w:bookmarkStart w:id="11" w:name="bookmark29"/>
      <w:bookmarkEnd w:id="11"/>
      <w:bookmarkStart w:id="12" w:name="_Toc6156"/>
      <w:r>
        <w:t>管理者代表</w:t>
      </w:r>
      <w:bookmarkEnd w:id="12"/>
    </w:p>
    <w:p w14:paraId="283552A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负责服务目录的确定和定期评审，以保证对服务目录的正确性和完整性。</w:t>
      </w:r>
    </w:p>
    <w:p w14:paraId="2FAAC220">
      <w:pPr>
        <w:pStyle w:val="26"/>
        <w:bidi w:val="0"/>
        <w:rPr>
          <w:rFonts w:hint="eastAsia"/>
          <w:lang w:val="en-US" w:eastAsia="zh-CN"/>
        </w:rPr>
      </w:pPr>
      <w:bookmarkStart w:id="13" w:name="bookmark9"/>
      <w:bookmarkEnd w:id="13"/>
      <w:bookmarkStart w:id="14" w:name="bookmark10"/>
      <w:bookmarkEnd w:id="14"/>
      <w:bookmarkStart w:id="15" w:name="_Toc9085"/>
      <w:r>
        <w:rPr>
          <w:rFonts w:hint="eastAsia"/>
          <w:lang w:val="en-US" w:eastAsia="zh-CN"/>
        </w:rPr>
        <w:t>人力部</w:t>
      </w:r>
      <w:bookmarkEnd w:id="15"/>
    </w:p>
    <w:p w14:paraId="209D676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负责满足服务目录实施要求的人员招聘及培训。</w:t>
      </w:r>
    </w:p>
    <w:p w14:paraId="30A07A49">
      <w:pPr>
        <w:pStyle w:val="26"/>
        <w:bidi w:val="0"/>
        <w:rPr>
          <w:rFonts w:hint="eastAsia"/>
          <w:lang w:val="en-US" w:eastAsia="zh-CN"/>
        </w:rPr>
      </w:pPr>
      <w:bookmarkStart w:id="16" w:name="bookmark12"/>
      <w:bookmarkEnd w:id="16"/>
      <w:bookmarkStart w:id="17" w:name="bookmark11"/>
      <w:bookmarkEnd w:id="17"/>
      <w:bookmarkStart w:id="18" w:name="_Toc14988"/>
      <w:r>
        <w:rPr>
          <w:rFonts w:hint="eastAsia"/>
          <w:lang w:val="en-US" w:eastAsia="zh-CN"/>
        </w:rPr>
        <w:t>运维部</w:t>
      </w:r>
      <w:bookmarkEnd w:id="18"/>
    </w:p>
    <w:p w14:paraId="66558DA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负责调查了解用户服务需求；对运维业务的外部环境及发展状况提出意见、评审服务目录及对服务目录提出意见。负责参与服务目录的定期评审，以及不定期修订。</w:t>
      </w:r>
    </w:p>
    <w:p w14:paraId="2D83EC70">
      <w:pPr>
        <w:pStyle w:val="25"/>
        <w:bidi w:val="0"/>
      </w:pPr>
      <w:bookmarkStart w:id="19" w:name="bookmark16"/>
      <w:bookmarkEnd w:id="19"/>
      <w:bookmarkStart w:id="20" w:name="bookmark13"/>
      <w:bookmarkEnd w:id="20"/>
      <w:bookmarkStart w:id="21" w:name="bookmark14"/>
      <w:bookmarkEnd w:id="21"/>
      <w:bookmarkStart w:id="22" w:name="bookmark15"/>
      <w:bookmarkEnd w:id="22"/>
      <w:bookmarkStart w:id="23" w:name="_Toc4075"/>
      <w:r>
        <w:t>具体内容</w:t>
      </w:r>
      <w:bookmarkEnd w:id="23"/>
    </w:p>
    <w:p w14:paraId="4813C326">
      <w:pPr>
        <w:pStyle w:val="26"/>
        <w:bidi w:val="0"/>
      </w:pPr>
      <w:bookmarkStart w:id="24" w:name="bookmark30"/>
      <w:bookmarkEnd w:id="24"/>
      <w:bookmarkStart w:id="25" w:name="_Toc11294"/>
      <w:r>
        <w:t>建立服务目录</w:t>
      </w:r>
      <w:bookmarkEnd w:id="25"/>
    </w:p>
    <w:p w14:paraId="0A58F37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服务目录是公司提供服务依据的基础性文件,服务目录分为组织级和项目级服务目录：</w:t>
      </w:r>
    </w:p>
    <w:p w14:paraId="17FEF40D">
      <w:pPr>
        <w:numPr>
          <w:ilvl w:val="0"/>
          <w:numId w:val="2"/>
        </w:numPr>
        <w:spacing w:before="1" w:line="292" w:lineRule="auto"/>
        <w:ind w:left="425" w:leftChars="0" w:right="54" w:hanging="425" w:firstLineChars="0"/>
        <w:rPr>
          <w:rFonts w:ascii="宋体" w:hAnsi="宋体" w:eastAsia="宋体" w:cs="宋体"/>
          <w:sz w:val="24"/>
          <w:szCs w:val="24"/>
        </w:rPr>
      </w:pPr>
      <w:r>
        <w:rPr>
          <w:rFonts w:ascii="宋体" w:hAnsi="宋体" w:eastAsia="宋体" w:cs="宋体"/>
          <w:spacing w:val="2"/>
          <w:sz w:val="24"/>
          <w:szCs w:val="24"/>
        </w:rPr>
        <w:t>组织级服务目录是针对公司可以提供的服务名称、服务内容、响应</w:t>
      </w:r>
      <w:r>
        <w:rPr>
          <w:rFonts w:ascii="宋体" w:hAnsi="宋体" w:eastAsia="宋体" w:cs="宋体"/>
          <w:spacing w:val="-1"/>
          <w:sz w:val="24"/>
          <w:szCs w:val="24"/>
        </w:rPr>
        <w:t>方式、服务频度、交付方式、交付成果等服务属性；</w:t>
      </w:r>
    </w:p>
    <w:p w14:paraId="6675CA56">
      <w:pPr>
        <w:numPr>
          <w:ilvl w:val="0"/>
          <w:numId w:val="2"/>
        </w:numPr>
        <w:spacing w:before="175" w:line="293" w:lineRule="auto"/>
        <w:ind w:left="425" w:leftChars="0" w:right="54" w:hanging="425" w:firstLineChars="0"/>
        <w:rPr>
          <w:rFonts w:ascii="宋体" w:hAnsi="宋体" w:eastAsia="宋体" w:cs="宋体"/>
          <w:sz w:val="24"/>
          <w:szCs w:val="24"/>
        </w:rPr>
      </w:pPr>
      <w:r>
        <w:rPr>
          <w:rFonts w:ascii="宋体" w:hAnsi="宋体" w:eastAsia="宋体" w:cs="宋体"/>
          <w:spacing w:val="2"/>
          <w:sz w:val="24"/>
          <w:szCs w:val="24"/>
        </w:rPr>
        <w:t>项目级服务目录是基于公司服务目录，结合项目客户需求建立的一</w:t>
      </w:r>
      <w:r>
        <w:rPr>
          <w:rFonts w:ascii="宋体" w:hAnsi="宋体" w:eastAsia="宋体" w:cs="宋体"/>
          <w:spacing w:val="-1"/>
          <w:sz w:val="24"/>
          <w:szCs w:val="24"/>
        </w:rPr>
        <w:t>个针对特定客户或特定服务项目所建立的服务描述性文件。</w:t>
      </w:r>
    </w:p>
    <w:p w14:paraId="690C32E9">
      <w:pPr>
        <w:spacing w:before="260" w:line="219" w:lineRule="auto"/>
        <w:rPr>
          <w:rFonts w:ascii="宋体" w:hAnsi="宋体" w:eastAsia="宋体" w:cs="宋体"/>
          <w:sz w:val="24"/>
          <w:szCs w:val="24"/>
        </w:rPr>
      </w:pPr>
      <w:r>
        <w:rPr>
          <w:rFonts w:ascii="宋体" w:hAnsi="宋体" w:eastAsia="宋体" w:cs="宋体"/>
          <w:spacing w:val="-1"/>
          <w:sz w:val="24"/>
          <w:szCs w:val="24"/>
        </w:rPr>
        <w:t>运维服务目录包括以下内容：</w:t>
      </w:r>
    </w:p>
    <w:p w14:paraId="74A77CF0">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83" w:line="360" w:lineRule="auto"/>
        <w:ind w:left="84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运维服务的分类。</w:t>
      </w:r>
    </w:p>
    <w:p w14:paraId="179B0B55">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83" w:line="360" w:lineRule="auto"/>
        <w:ind w:left="845" w:leftChars="0" w:hanging="425" w:firstLineChars="0"/>
        <w:textAlignment w:val="baseline"/>
        <w:rPr>
          <w:rFonts w:ascii="宋体" w:hAnsi="宋体" w:eastAsia="宋体" w:cs="宋体"/>
          <w:spacing w:val="-4"/>
          <w:sz w:val="24"/>
          <w:szCs w:val="24"/>
        </w:rPr>
      </w:pPr>
      <w:r>
        <w:rPr>
          <w:rFonts w:ascii="宋体" w:hAnsi="宋体" w:eastAsia="宋体" w:cs="宋体"/>
          <w:spacing w:val="-3"/>
          <w:sz w:val="24"/>
          <w:szCs w:val="24"/>
        </w:rPr>
        <w:t>运维服务名称。</w:t>
      </w:r>
    </w:p>
    <w:p w14:paraId="4DB8B775">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14" w:line="360" w:lineRule="auto"/>
        <w:ind w:left="845" w:leftChars="0" w:hanging="425" w:firstLineChars="0"/>
        <w:textAlignment w:val="baseline"/>
        <w:rPr>
          <w:rFonts w:ascii="宋体" w:hAnsi="宋体" w:eastAsia="宋体" w:cs="宋体"/>
          <w:sz w:val="24"/>
          <w:szCs w:val="24"/>
        </w:rPr>
      </w:pPr>
      <w:r>
        <w:rPr>
          <w:rFonts w:ascii="宋体" w:hAnsi="宋体" w:eastAsia="宋体" w:cs="宋体"/>
          <w:sz w:val="24"/>
          <w:szCs w:val="24"/>
        </w:rPr>
        <w:t>运维服务目标或标准（服务指标和质量标准）。</w:t>
      </w:r>
    </w:p>
    <w:p w14:paraId="5CD1BFB7">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82" w:line="360" w:lineRule="auto"/>
        <w:ind w:left="84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运维服务提供时间。</w:t>
      </w:r>
    </w:p>
    <w:p w14:paraId="04DB4156">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84" w:line="360" w:lineRule="auto"/>
        <w:ind w:left="84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交付内容和交付周期。</w:t>
      </w:r>
    </w:p>
    <w:p w14:paraId="4D5F2A5C">
      <w:pPr>
        <w:pStyle w:val="26"/>
        <w:bidi w:val="0"/>
      </w:pPr>
      <w:bookmarkStart w:id="26" w:name="bookmark18"/>
      <w:bookmarkEnd w:id="26"/>
      <w:bookmarkStart w:id="27" w:name="bookmark17"/>
      <w:bookmarkEnd w:id="27"/>
      <w:bookmarkStart w:id="28" w:name="_Toc32449"/>
      <w:r>
        <w:t>监控服务目录</w:t>
      </w:r>
      <w:bookmarkEnd w:id="28"/>
    </w:p>
    <w:p w14:paraId="74147C7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公司管理层组织相关部门负责人每年至少一次对服务目录管理情况进行总结与评估，识别出相关的问题，提出改进建议。改进建议来源：</w:t>
      </w:r>
    </w:p>
    <w:p w14:paraId="4D84A777">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运维过程中</w:t>
      </w:r>
      <w:r>
        <w:rPr>
          <w:rFonts w:hint="eastAsia" w:ascii="宋体" w:hAnsi="宋体" w:eastAsia="宋体" w:cs="宋体"/>
          <w:spacing w:val="2"/>
          <w:sz w:val="24"/>
          <w:szCs w:val="24"/>
          <w:lang w:val="en-US" w:eastAsia="zh-CN"/>
        </w:rPr>
        <w:t>客户</w:t>
      </w:r>
      <w:r>
        <w:rPr>
          <w:rFonts w:ascii="宋体" w:hAnsi="宋体" w:eastAsia="宋体" w:cs="宋体"/>
          <w:spacing w:val="2"/>
          <w:sz w:val="24"/>
          <w:szCs w:val="24"/>
        </w:rPr>
        <w:t>提出的超过服务目录范围的需求；</w:t>
      </w:r>
    </w:p>
    <w:p w14:paraId="1704F9A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市场服务需求的变化。</w:t>
      </w:r>
    </w:p>
    <w:p w14:paraId="73DD508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同时，相关部门负责人应该定期收集各业务模块顾客提出的相关建议，分析运维过程中存在的问题，并向公司管理层、战略客户部提出改进建议。</w:t>
      </w:r>
    </w:p>
    <w:p w14:paraId="0038C6BD">
      <w:pPr>
        <w:pStyle w:val="26"/>
        <w:bidi w:val="0"/>
      </w:pPr>
      <w:bookmarkStart w:id="29" w:name="bookmark20"/>
      <w:bookmarkEnd w:id="29"/>
      <w:bookmarkStart w:id="30" w:name="bookmark19"/>
      <w:bookmarkEnd w:id="30"/>
      <w:bookmarkStart w:id="31" w:name="_Toc23700"/>
      <w:r>
        <w:t>定期评审</w:t>
      </w:r>
      <w:bookmarkEnd w:id="31"/>
    </w:p>
    <w:p w14:paraId="4AB1702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运维部</w:t>
      </w:r>
      <w:r>
        <w:rPr>
          <w:rFonts w:hint="eastAsia" w:ascii="宋体" w:hAnsi="宋体" w:eastAsia="宋体" w:cs="宋体"/>
          <w:sz w:val="24"/>
          <w:szCs w:val="24"/>
          <w:lang w:val="en-US" w:eastAsia="zh-CN"/>
        </w:rPr>
        <w:t>经理</w:t>
      </w:r>
      <w:bookmarkStart w:id="46" w:name="_GoBack"/>
      <w:bookmarkEnd w:id="46"/>
      <w:r>
        <w:rPr>
          <w:rFonts w:ascii="宋体" w:hAnsi="宋体" w:eastAsia="宋体" w:cs="宋体"/>
          <w:sz w:val="24"/>
          <w:szCs w:val="24"/>
        </w:rPr>
        <w:t>每年年底组织一次对现有服务目录的评审，评审结果及后续改进意见应保留，对于评审中发现的服务目录</w:t>
      </w:r>
      <w:r>
        <w:rPr>
          <w:rFonts w:hint="eastAsia" w:ascii="宋体" w:hAnsi="宋体" w:eastAsia="宋体" w:cs="宋体"/>
          <w:sz w:val="24"/>
          <w:szCs w:val="24"/>
          <w:lang w:val="en-US" w:eastAsia="zh-CN"/>
        </w:rPr>
        <w:t>中</w:t>
      </w:r>
      <w:r>
        <w:rPr>
          <w:rFonts w:ascii="宋体" w:hAnsi="宋体" w:eastAsia="宋体" w:cs="宋体"/>
          <w:sz w:val="24"/>
          <w:szCs w:val="24"/>
        </w:rPr>
        <w:t>存在</w:t>
      </w:r>
      <w:r>
        <w:rPr>
          <w:rFonts w:hint="eastAsia" w:ascii="宋体" w:hAnsi="宋体" w:eastAsia="宋体" w:cs="宋体"/>
          <w:sz w:val="24"/>
          <w:szCs w:val="24"/>
          <w:lang w:val="en-US" w:eastAsia="zh-CN"/>
        </w:rPr>
        <w:t>的</w:t>
      </w:r>
      <w:r>
        <w:rPr>
          <w:rFonts w:ascii="宋体" w:hAnsi="宋体" w:eastAsia="宋体" w:cs="宋体"/>
          <w:sz w:val="24"/>
          <w:szCs w:val="24"/>
        </w:rPr>
        <w:t>问题，指定专人进行修订和改进。</w:t>
      </w:r>
    </w:p>
    <w:p w14:paraId="4AB0F96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运维服务目录的评审应当对服务市场前景、公司3-5年业务发展规划、既往1-3年运维情况进行分析，并根据分析结果，确定是否对服务目录进行修订。</w:t>
      </w:r>
    </w:p>
    <w:p w14:paraId="7734FA4F">
      <w:pPr>
        <w:pStyle w:val="26"/>
        <w:bidi w:val="0"/>
      </w:pPr>
      <w:bookmarkStart w:id="32" w:name="bookmark21"/>
      <w:bookmarkEnd w:id="32"/>
      <w:bookmarkStart w:id="33" w:name="bookmark22"/>
      <w:bookmarkEnd w:id="33"/>
      <w:bookmarkStart w:id="34" w:name="_Toc8089"/>
      <w:r>
        <w:t>修订和验证</w:t>
      </w:r>
      <w:bookmarkEnd w:id="34"/>
    </w:p>
    <w:p w14:paraId="1CEFE7C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如需对运维服务目录进行修订，则由运维部进行运维服务目录的修订工作。</w:t>
      </w:r>
    </w:p>
    <w:p w14:paraId="281D29E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在运维服务过程中，若发现现有运维服务目录不适合时，运维部应对运维服务目录进行修订。</w:t>
      </w:r>
    </w:p>
    <w:p w14:paraId="6C65316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运维服务目录评审会议决定修订服务目录时，由运维部组织进行服务目录修订工作。</w:t>
      </w:r>
    </w:p>
    <w:p w14:paraId="4E1F176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由运行维护服务相关部门组织人员、过程、技术等相关资源进行验证，以确保修订内容能够满足市场和客户需求。</w:t>
      </w:r>
    </w:p>
    <w:p w14:paraId="08A9E6E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修订后的运维服务目录，应遵循以下评审流程：由运维部负责组织，召开由公司管理者代表主持，</w:t>
      </w:r>
      <w:r>
        <w:rPr>
          <w:rFonts w:hint="eastAsia" w:ascii="宋体" w:hAnsi="宋体" w:eastAsia="宋体" w:cs="宋体"/>
          <w:sz w:val="24"/>
          <w:szCs w:val="24"/>
          <w:lang w:val="en-US" w:eastAsia="zh-CN"/>
        </w:rPr>
        <w:t>运维部</w:t>
      </w:r>
      <w:r>
        <w:rPr>
          <w:rFonts w:ascii="宋体" w:hAnsi="宋体" w:eastAsia="宋体" w:cs="宋体"/>
          <w:sz w:val="24"/>
          <w:szCs w:val="24"/>
        </w:rPr>
        <w:t>、</w:t>
      </w:r>
      <w:r>
        <w:rPr>
          <w:rFonts w:hint="eastAsia" w:ascii="宋体" w:hAnsi="宋体" w:eastAsia="宋体" w:cs="宋体"/>
          <w:sz w:val="24"/>
          <w:szCs w:val="24"/>
          <w:lang w:val="en-US" w:eastAsia="zh-CN"/>
        </w:rPr>
        <w:t>人力部</w:t>
      </w:r>
      <w:r>
        <w:rPr>
          <w:rFonts w:ascii="宋体" w:hAnsi="宋体" w:eastAsia="宋体" w:cs="宋体"/>
          <w:sz w:val="24"/>
          <w:szCs w:val="24"/>
        </w:rPr>
        <w:t>、</w:t>
      </w:r>
      <w:r>
        <w:rPr>
          <w:rFonts w:hint="eastAsia" w:ascii="宋体" w:hAnsi="宋体" w:eastAsia="宋体" w:cs="宋体"/>
          <w:sz w:val="24"/>
          <w:szCs w:val="24"/>
          <w:lang w:val="en-US" w:eastAsia="zh-CN"/>
        </w:rPr>
        <w:t>研发部、采购部、质量部</w:t>
      </w:r>
      <w:r>
        <w:rPr>
          <w:rFonts w:ascii="宋体" w:hAnsi="宋体" w:eastAsia="宋体" w:cs="宋体"/>
          <w:sz w:val="24"/>
          <w:szCs w:val="24"/>
        </w:rPr>
        <w:t>等相关部门负责人共同参与的评审会议。</w:t>
      </w:r>
    </w:p>
    <w:p w14:paraId="6A93F177">
      <w:pPr>
        <w:pStyle w:val="26"/>
        <w:bidi w:val="0"/>
      </w:pPr>
      <w:bookmarkStart w:id="35" w:name="bookmark23"/>
      <w:bookmarkEnd w:id="35"/>
      <w:bookmarkStart w:id="36" w:name="bookmark24"/>
      <w:bookmarkEnd w:id="36"/>
      <w:bookmarkStart w:id="37" w:name="_Toc26627"/>
      <w:r>
        <w:t>服务目录的发布</w:t>
      </w:r>
      <w:bookmarkEnd w:id="37"/>
    </w:p>
    <w:p w14:paraId="5FC7C73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运维服务目录修订内容验证符合预期目标和要求后，由运维部提交公司管理者代表审批后发布。</w:t>
      </w:r>
    </w:p>
    <w:p w14:paraId="5A80CA3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运维服务目录向客户部、运维服务相关部门、公司管理人员发布，并提交项</w:t>
      </w:r>
      <w:bookmarkStart w:id="38" w:name="bookmark26"/>
      <w:bookmarkEnd w:id="38"/>
      <w:bookmarkStart w:id="39" w:name="bookmark25"/>
      <w:bookmarkEnd w:id="39"/>
      <w:r>
        <w:rPr>
          <w:rFonts w:ascii="宋体" w:hAnsi="宋体" w:eastAsia="宋体" w:cs="宋体"/>
          <w:sz w:val="24"/>
          <w:szCs w:val="24"/>
        </w:rPr>
        <w:t>目部归档保存。</w:t>
      </w:r>
    </w:p>
    <w:p w14:paraId="2B99464C">
      <w:pPr>
        <w:pStyle w:val="26"/>
        <w:bidi w:val="0"/>
        <w:rPr>
          <w:rFonts w:ascii="宋体" w:hAnsi="宋体" w:eastAsia="宋体" w:cs="宋体"/>
          <w:sz w:val="24"/>
          <w:szCs w:val="24"/>
        </w:rPr>
      </w:pPr>
      <w:bookmarkStart w:id="40" w:name="bookmark33"/>
      <w:bookmarkEnd w:id="40"/>
      <w:r>
        <w:rPr>
          <w:rFonts w:ascii="宋体" w:hAnsi="宋体" w:eastAsia="宋体" w:cs="宋体"/>
          <w:spacing w:val="-50"/>
          <w:sz w:val="24"/>
          <w:szCs w:val="24"/>
        </w:rPr>
        <w:t xml:space="preserve"> </w:t>
      </w:r>
      <w:bookmarkStart w:id="41" w:name="_Toc9610"/>
      <w:r>
        <w:rPr>
          <w:rFonts w:ascii="宋体" w:hAnsi="宋体" w:eastAsia="宋体" w:cs="宋体"/>
          <w:spacing w:val="-2"/>
          <w:sz w:val="24"/>
          <w:szCs w:val="24"/>
        </w:rPr>
        <w:t>服务目录的使用</w:t>
      </w:r>
      <w:bookmarkEnd w:id="41"/>
    </w:p>
    <w:p w14:paraId="17946C1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运维服务目录是客户部与客户的商务谈判和合同签订的依据。</w:t>
      </w:r>
    </w:p>
    <w:p w14:paraId="7F08F00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运维服务目录用于服务实施部门监督和执行服务执行过程中质量保障的参照依据。</w:t>
      </w:r>
    </w:p>
    <w:p w14:paraId="3294CC4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任何人员在使用运维服务目录过程中不得随意修改、曲解运维服务目录既定内容、要求、指标等全部内容。</w:t>
      </w:r>
    </w:p>
    <w:p w14:paraId="41A966E8">
      <w:pPr>
        <w:pStyle w:val="25"/>
        <w:bidi w:val="0"/>
      </w:pPr>
      <w:bookmarkStart w:id="42" w:name="bookmark28"/>
      <w:bookmarkEnd w:id="42"/>
      <w:bookmarkStart w:id="43" w:name="bookmark27"/>
      <w:bookmarkEnd w:id="43"/>
      <w:bookmarkStart w:id="44" w:name="_Toc1813"/>
      <w:r>
        <w:t>相关记录</w:t>
      </w:r>
      <w:bookmarkEnd w:id="44"/>
    </w:p>
    <w:p w14:paraId="67628DA9">
      <w:pPr>
        <w:spacing w:before="231" w:line="219" w:lineRule="auto"/>
        <w:ind w:left="591"/>
        <w:outlineLvl w:val="1"/>
      </w:pPr>
      <w:bookmarkStart w:id="45" w:name="_Toc14527"/>
      <w:r>
        <w:rPr>
          <w:rFonts w:ascii="宋体" w:hAnsi="宋体" w:eastAsia="宋体" w:cs="宋体"/>
          <w:spacing w:val="-2"/>
          <w:sz w:val="24"/>
          <w:szCs w:val="24"/>
        </w:rPr>
        <w:t>《组织级运维服务目录》</w:t>
      </w:r>
      <w:bookmarkEnd w:id="45"/>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4"/>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D8648CE"/>
    <w:multiLevelType w:val="singleLevel"/>
    <w:tmpl w:val="AD8648CE"/>
    <w:lvl w:ilvl="0" w:tentative="0">
      <w:start w:val="1"/>
      <w:numFmt w:val="decimal"/>
      <w:lvlText w:val="%1)"/>
      <w:lvlJc w:val="left"/>
      <w:pPr>
        <w:tabs>
          <w:tab w:val="left" w:pos="420"/>
        </w:tabs>
        <w:ind w:left="845" w:hanging="425"/>
      </w:pPr>
      <w:rPr>
        <w:rFonts w:hint="default"/>
      </w:rPr>
    </w:lvl>
  </w:abstractNum>
  <w:abstractNum w:abstractNumId="2">
    <w:nsid w:val="3336D2E6"/>
    <w:multiLevelType w:val="singleLevel"/>
    <w:tmpl w:val="3336D2E6"/>
    <w:lvl w:ilvl="0" w:tentative="0">
      <w:start w:val="1"/>
      <w:numFmt w:val="decimal"/>
      <w:lvlText w:val="%1."/>
      <w:lvlJc w:val="left"/>
      <w:pPr>
        <w:ind w:left="425" w:hanging="425"/>
      </w:pPr>
      <w:rPr>
        <w:rFonts w:hint="default"/>
      </w:rPr>
    </w:lvl>
  </w:abstractNum>
  <w:abstractNum w:abstractNumId="3">
    <w:nsid w:val="3672D2BC"/>
    <w:multiLevelType w:val="singleLevel"/>
    <w:tmpl w:val="3672D2BC"/>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E8173D"/>
    <w:rsid w:val="05C8669A"/>
    <w:rsid w:val="070954E4"/>
    <w:rsid w:val="0B13248D"/>
    <w:rsid w:val="0B892750"/>
    <w:rsid w:val="0B930577"/>
    <w:rsid w:val="0D41564C"/>
    <w:rsid w:val="0D660F9A"/>
    <w:rsid w:val="0FB11EE2"/>
    <w:rsid w:val="119775A7"/>
    <w:rsid w:val="16C265E3"/>
    <w:rsid w:val="1A5A3D18"/>
    <w:rsid w:val="1B753E70"/>
    <w:rsid w:val="1B8D153C"/>
    <w:rsid w:val="1DF47EFC"/>
    <w:rsid w:val="1FFE5062"/>
    <w:rsid w:val="20383D9C"/>
    <w:rsid w:val="205963E8"/>
    <w:rsid w:val="2480073C"/>
    <w:rsid w:val="2B8A130C"/>
    <w:rsid w:val="2BC0763F"/>
    <w:rsid w:val="2CD56C77"/>
    <w:rsid w:val="2D381E44"/>
    <w:rsid w:val="2F135073"/>
    <w:rsid w:val="30C27BDB"/>
    <w:rsid w:val="31EE5CC4"/>
    <w:rsid w:val="31F91B2E"/>
    <w:rsid w:val="324D08CC"/>
    <w:rsid w:val="32F32A21"/>
    <w:rsid w:val="36770772"/>
    <w:rsid w:val="37BF1626"/>
    <w:rsid w:val="387B1840"/>
    <w:rsid w:val="3B6E533A"/>
    <w:rsid w:val="3C096E11"/>
    <w:rsid w:val="3E7C0C45"/>
    <w:rsid w:val="3F5A203E"/>
    <w:rsid w:val="3F9B06C8"/>
    <w:rsid w:val="42D10BFD"/>
    <w:rsid w:val="4642189D"/>
    <w:rsid w:val="471A69C9"/>
    <w:rsid w:val="4DE1374A"/>
    <w:rsid w:val="4FC9093A"/>
    <w:rsid w:val="50CF01D2"/>
    <w:rsid w:val="511E4CB5"/>
    <w:rsid w:val="53057EDB"/>
    <w:rsid w:val="5859544B"/>
    <w:rsid w:val="593F3A1A"/>
    <w:rsid w:val="5B155AC1"/>
    <w:rsid w:val="5BC619FD"/>
    <w:rsid w:val="5C0303E8"/>
    <w:rsid w:val="5C717B35"/>
    <w:rsid w:val="5E133B7E"/>
    <w:rsid w:val="5E8425FB"/>
    <w:rsid w:val="6008706E"/>
    <w:rsid w:val="604D4F3F"/>
    <w:rsid w:val="618D7A19"/>
    <w:rsid w:val="62853344"/>
    <w:rsid w:val="63A4729C"/>
    <w:rsid w:val="67931B01"/>
    <w:rsid w:val="68A33FC6"/>
    <w:rsid w:val="68D91796"/>
    <w:rsid w:val="68DE43D3"/>
    <w:rsid w:val="6B8974A3"/>
    <w:rsid w:val="6DC81DD9"/>
    <w:rsid w:val="6E606731"/>
    <w:rsid w:val="7851759A"/>
    <w:rsid w:val="7A1D3357"/>
    <w:rsid w:val="7ACF03E3"/>
    <w:rsid w:val="7D1E37CD"/>
    <w:rsid w:val="7DD86C30"/>
    <w:rsid w:val="7E956D3F"/>
    <w:rsid w:val="7E993157"/>
    <w:rsid w:val="7F2C2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rPr>
      <w:rFonts w:ascii="Arial" w:hAnsi="Arial" w:eastAsia="Microsoft JhengHei"/>
      <w:sz w:val="24"/>
    </w:rPr>
  </w:style>
  <w:style w:type="paragraph" w:styleId="16">
    <w:name w:val="toc 2"/>
    <w:basedOn w:val="1"/>
    <w:next w:val="1"/>
    <w:qFormat/>
    <w:uiPriority w:val="0"/>
    <w:pPr>
      <w:ind w:left="420" w:leftChars="200"/>
    </w:pPr>
  </w:style>
  <w:style w:type="paragraph" w:styleId="17">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柴_公司名"/>
    <w:basedOn w:val="17"/>
    <w:qFormat/>
    <w:uiPriority w:val="0"/>
    <w:pPr>
      <w:spacing w:after="600" w:afterLines="600"/>
    </w:pPr>
    <w:rPr>
      <w:rFonts w:hint="eastAsia" w:ascii="宋体" w:hAnsi="宋体" w:eastAsia="宋体" w:cs="宋体"/>
      <w:bCs/>
      <w:spacing w:val="-6"/>
      <w:sz w:val="52"/>
      <w:szCs w:val="52"/>
    </w:rPr>
  </w:style>
  <w:style w:type="paragraph" w:customStyle="1" w:styleId="22">
    <w:name w:val="柴_文档名"/>
    <w:basedOn w:val="17"/>
    <w:qFormat/>
    <w:uiPriority w:val="0"/>
    <w:pPr>
      <w:spacing w:after="900" w:afterLines="900"/>
    </w:pPr>
    <w:rPr>
      <w:rFonts w:ascii="黑体" w:hAnsi="黑体" w:eastAsia="黑体" w:cs="黑体"/>
      <w:bCs/>
      <w:spacing w:val="-7"/>
      <w:sz w:val="52"/>
      <w:szCs w:val="52"/>
    </w:rPr>
  </w:style>
  <w:style w:type="table" w:customStyle="1" w:styleId="23">
    <w:name w:val="Table Normal"/>
    <w:semiHidden/>
    <w:unhideWhenUsed/>
    <w:qFormat/>
    <w:uiPriority w:val="0"/>
    <w:tblPr>
      <w:tblCellMar>
        <w:top w:w="0" w:type="dxa"/>
        <w:left w:w="0" w:type="dxa"/>
        <w:bottom w:w="0" w:type="dxa"/>
        <w:right w:w="0" w:type="dxa"/>
      </w:tblCellMar>
    </w:tblPr>
  </w:style>
  <w:style w:type="paragraph" w:customStyle="1" w:styleId="24">
    <w:name w:val="Table Text"/>
    <w:basedOn w:val="1"/>
    <w:semiHidden/>
    <w:qFormat/>
    <w:uiPriority w:val="0"/>
    <w:rPr>
      <w:rFonts w:ascii="宋体" w:hAnsi="宋体" w:eastAsia="宋体" w:cs="宋体"/>
      <w:sz w:val="21"/>
      <w:szCs w:val="21"/>
      <w:lang w:val="en-US" w:eastAsia="en-US" w:bidi="ar-SA"/>
    </w:rPr>
  </w:style>
  <w:style w:type="paragraph" w:customStyle="1" w:styleId="25">
    <w:name w:val="柴_标题1"/>
    <w:basedOn w:val="2"/>
    <w:next w:val="1"/>
    <w:qFormat/>
    <w:uiPriority w:val="0"/>
    <w:pPr>
      <w:spacing w:before="100" w:after="90" w:line="360" w:lineRule="auto"/>
    </w:pPr>
    <w:rPr>
      <w:rFonts w:ascii="Arial" w:hAnsi="Arial" w:eastAsia="宋体"/>
      <w:sz w:val="32"/>
    </w:rPr>
  </w:style>
  <w:style w:type="paragraph" w:customStyle="1" w:styleId="26">
    <w:name w:val="柴_标题2"/>
    <w:basedOn w:val="3"/>
    <w:next w:val="1"/>
    <w:qFormat/>
    <w:uiPriority w:val="0"/>
    <w:pPr>
      <w:spacing w:line="360" w:lineRule="auto"/>
    </w:pPr>
    <w:rPr>
      <w:rFonts w:ascii="Arial" w:hAnsi="Arial" w:eastAsia="宋体"/>
      <w:sz w:val="28"/>
    </w:rPr>
  </w:style>
  <w:style w:type="paragraph" w:customStyle="1" w:styleId="27">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8">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1521</Words>
  <Characters>1613</Characters>
  <Lines>0</Lines>
  <Paragraphs>0</Paragraphs>
  <TotalTime>14</TotalTime>
  <ScaleCrop>false</ScaleCrop>
  <LinksUpToDate>false</LinksUpToDate>
  <CharactersWithSpaces>1645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2025-09-11T13:38:18Z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CDE73F44C53C4EBB8E1AD6244F5C19E4_11</vt:lpwstr>
  </property>
  <property fmtid="{D5CDD505-2E9C-101B-9397-08002B2CF9AE}" pid="4" name="KSOTemplateDocerSaveRecord">
    <vt:lpwstr>eyJoZGlkIjoiMDY5NmFjMmM4ZTljMGJiZDAxN2JmYTc0NGI0NmFiNDgiLCJ1c2VySWQiOiIxMDc1MzgyOSJ9</vt:lpwstr>
  </property>
</Properties>
</file>