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AD8A3D">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文件编号：ITSS-01-01</w:t>
      </w:r>
    </w:p>
    <w:p w14:paraId="20516D53">
      <w:pPr>
        <w:keepNext w:val="0"/>
        <w:keepLines w:val="0"/>
        <w:pageBreakBefore w:val="0"/>
        <w:widowControl w:val="0"/>
        <w:kinsoku/>
        <w:wordWrap/>
        <w:overflowPunct/>
        <w:topLinePunct w:val="0"/>
        <w:autoSpaceDE/>
        <w:autoSpaceDN/>
        <w:bidi w:val="0"/>
        <w:adjustRightInd/>
        <w:snapToGrid/>
        <w:spacing w:after="3121"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fitText w:val="960" w:id="1404264543"/>
        </w:rPr>
        <w:t>版</w:t>
      </w:r>
      <w:r>
        <w:rPr>
          <w:rFonts w:ascii="宋体" w:hAnsi="宋体" w:eastAsia="宋体" w:cs="宋体"/>
          <w:b/>
          <w:bCs/>
          <w:spacing w:val="0"/>
          <w:kern w:val="0"/>
          <w:sz w:val="24"/>
          <w:szCs w:val="24"/>
          <w:fitText w:val="960" w:id="1404264543"/>
        </w:rPr>
        <w:t>本</w:t>
      </w:r>
      <w:r>
        <w:rPr>
          <w:rFonts w:ascii="宋体" w:hAnsi="宋体" w:eastAsia="宋体" w:cs="宋体"/>
          <w:b/>
          <w:bCs/>
          <w:spacing w:val="-5"/>
          <w:sz w:val="24"/>
          <w:szCs w:val="24"/>
        </w:rPr>
        <w:t>：V1.0</w:t>
      </w:r>
      <w:bookmarkStart w:id="29" w:name="_GoBack"/>
      <w:bookmarkEnd w:id="29"/>
    </w:p>
    <w:p w14:paraId="19C90305">
      <w:pPr>
        <w:pStyle w:val="21"/>
        <w:bidi w:val="0"/>
      </w:pPr>
      <w:r>
        <w:rPr>
          <w:rFonts w:hint="eastAsia"/>
          <w:lang w:val="en-US" w:eastAsia="zh-CN"/>
        </w:rPr>
        <w:t>万洲奇智（青岛）信息科技有限</w:t>
      </w:r>
      <w:r>
        <w:t>公司</w:t>
      </w:r>
    </w:p>
    <w:p w14:paraId="3D74D20A">
      <w:pPr>
        <w:pStyle w:val="22"/>
        <w:bidi w:val="0"/>
      </w:pPr>
      <w:r>
        <w:t>运维服务目录管理规范</w:t>
      </w:r>
    </w:p>
    <w:tbl>
      <w:tblPr>
        <w:tblStyle w:val="19"/>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5D006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672FF0C7">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毛彦超</w:t>
            </w:r>
          </w:p>
        </w:tc>
        <w:tc>
          <w:tcPr>
            <w:tcW w:w="4261" w:type="dxa"/>
          </w:tcPr>
          <w:p w14:paraId="7554A84C">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95FF0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vAlign w:val="top"/>
          </w:tcPr>
          <w:p w14:paraId="46779ABD">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vAlign w:val="top"/>
          </w:tcPr>
          <w:p w14:paraId="15A031A1">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C810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2C6AA9C8">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1CCAA626">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3207BFDE">
      <w:r>
        <w:br w:type="page"/>
      </w:r>
    </w:p>
    <w:p w14:paraId="49DA19E5">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3"/>
        <w:tblW w:w="849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238"/>
        <w:gridCol w:w="1245"/>
        <w:gridCol w:w="1245"/>
      </w:tblGrid>
      <w:tr w14:paraId="21E8DE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vAlign w:val="top"/>
          </w:tcPr>
          <w:p w14:paraId="3CF02F36">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vAlign w:val="top"/>
          </w:tcPr>
          <w:p w14:paraId="2D62A896">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vAlign w:val="top"/>
          </w:tcPr>
          <w:p w14:paraId="0C7A0F70">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238" w:type="dxa"/>
            <w:vAlign w:val="top"/>
          </w:tcPr>
          <w:p w14:paraId="2920BDE9">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245" w:type="dxa"/>
            <w:vAlign w:val="top"/>
          </w:tcPr>
          <w:p w14:paraId="3A924367">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5" w:type="dxa"/>
            <w:vAlign w:val="top"/>
          </w:tcPr>
          <w:p w14:paraId="08FEDE74">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FA83A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0867738B">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vAlign w:val="top"/>
          </w:tcPr>
          <w:p w14:paraId="648AD6AC">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vAlign w:val="top"/>
          </w:tcPr>
          <w:p w14:paraId="3CA7BD34">
            <w:pPr>
              <w:spacing w:before="172" w:line="228" w:lineRule="auto"/>
              <w:ind w:left="114"/>
              <w:rPr>
                <w:rFonts w:ascii="宋体" w:hAnsi="宋体" w:eastAsia="宋体" w:cs="宋体"/>
                <w:sz w:val="20"/>
                <w:szCs w:val="20"/>
              </w:rPr>
            </w:pPr>
            <w:r>
              <w:rPr>
                <w:rFonts w:ascii="宋体" w:hAnsi="宋体" w:eastAsia="宋体" w:cs="宋体"/>
                <w:spacing w:val="7"/>
                <w:sz w:val="20"/>
                <w:szCs w:val="20"/>
              </w:rPr>
              <w:t>新建文档</w:t>
            </w:r>
          </w:p>
        </w:tc>
        <w:tc>
          <w:tcPr>
            <w:tcW w:w="1238" w:type="dxa"/>
            <w:vAlign w:val="top"/>
          </w:tcPr>
          <w:p w14:paraId="5387AEE3">
            <w:pPr>
              <w:spacing w:before="172" w:line="228" w:lineRule="auto"/>
              <w:ind w:left="313"/>
              <w:rPr>
                <w:rFonts w:ascii="宋体" w:hAnsi="宋体" w:eastAsia="宋体" w:cs="宋体"/>
                <w:sz w:val="20"/>
                <w:szCs w:val="20"/>
              </w:rPr>
            </w:pPr>
            <w:r>
              <w:rPr>
                <w:rFonts w:hint="eastAsia" w:ascii="宋体" w:hAnsi="宋体" w:eastAsia="宋体" w:cs="宋体"/>
                <w:spacing w:val="5"/>
                <w:sz w:val="20"/>
                <w:szCs w:val="20"/>
              </w:rPr>
              <w:t>毛彦超</w:t>
            </w:r>
          </w:p>
        </w:tc>
        <w:tc>
          <w:tcPr>
            <w:tcW w:w="1245" w:type="dxa"/>
            <w:vAlign w:val="top"/>
          </w:tcPr>
          <w:p w14:paraId="008FBE06">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5" w:type="dxa"/>
            <w:vAlign w:val="top"/>
          </w:tcPr>
          <w:p w14:paraId="7CB1CF9F">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478771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4387CE95">
            <w:pPr>
              <w:pStyle w:val="24"/>
            </w:pPr>
          </w:p>
        </w:tc>
        <w:tc>
          <w:tcPr>
            <w:tcW w:w="919" w:type="dxa"/>
            <w:vAlign w:val="top"/>
          </w:tcPr>
          <w:p w14:paraId="218F3AD4">
            <w:pPr>
              <w:pStyle w:val="24"/>
            </w:pPr>
          </w:p>
        </w:tc>
        <w:tc>
          <w:tcPr>
            <w:tcW w:w="2289" w:type="dxa"/>
            <w:vAlign w:val="top"/>
          </w:tcPr>
          <w:p w14:paraId="15EFA507">
            <w:pPr>
              <w:pStyle w:val="24"/>
            </w:pPr>
          </w:p>
        </w:tc>
        <w:tc>
          <w:tcPr>
            <w:tcW w:w="1238" w:type="dxa"/>
            <w:vAlign w:val="top"/>
          </w:tcPr>
          <w:p w14:paraId="70C086CB">
            <w:pPr>
              <w:spacing w:before="172" w:line="228" w:lineRule="auto"/>
              <w:ind w:left="313"/>
            </w:pPr>
          </w:p>
        </w:tc>
        <w:tc>
          <w:tcPr>
            <w:tcW w:w="1245" w:type="dxa"/>
            <w:vAlign w:val="top"/>
          </w:tcPr>
          <w:p w14:paraId="35AEC507">
            <w:pPr>
              <w:spacing w:before="172" w:line="228" w:lineRule="auto"/>
              <w:ind w:left="313"/>
            </w:pPr>
          </w:p>
        </w:tc>
        <w:tc>
          <w:tcPr>
            <w:tcW w:w="1245" w:type="dxa"/>
            <w:vAlign w:val="top"/>
          </w:tcPr>
          <w:p w14:paraId="6E8FD876">
            <w:pPr>
              <w:pStyle w:val="24"/>
            </w:pPr>
          </w:p>
        </w:tc>
      </w:tr>
      <w:tr w14:paraId="5D0B312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6897D55F">
            <w:pPr>
              <w:pStyle w:val="24"/>
            </w:pPr>
          </w:p>
        </w:tc>
        <w:tc>
          <w:tcPr>
            <w:tcW w:w="919" w:type="dxa"/>
            <w:vAlign w:val="top"/>
          </w:tcPr>
          <w:p w14:paraId="09634355">
            <w:pPr>
              <w:pStyle w:val="24"/>
            </w:pPr>
          </w:p>
        </w:tc>
        <w:tc>
          <w:tcPr>
            <w:tcW w:w="2289" w:type="dxa"/>
            <w:vAlign w:val="top"/>
          </w:tcPr>
          <w:p w14:paraId="5EE6029F">
            <w:pPr>
              <w:pStyle w:val="24"/>
            </w:pPr>
          </w:p>
        </w:tc>
        <w:tc>
          <w:tcPr>
            <w:tcW w:w="1238" w:type="dxa"/>
            <w:vAlign w:val="top"/>
          </w:tcPr>
          <w:p w14:paraId="38EDD11A">
            <w:pPr>
              <w:spacing w:before="173" w:line="229" w:lineRule="auto"/>
              <w:ind w:left="314"/>
            </w:pPr>
          </w:p>
        </w:tc>
        <w:tc>
          <w:tcPr>
            <w:tcW w:w="1245" w:type="dxa"/>
            <w:vAlign w:val="top"/>
          </w:tcPr>
          <w:p w14:paraId="4B30AD5C">
            <w:pPr>
              <w:spacing w:before="173" w:line="229" w:lineRule="auto"/>
              <w:ind w:left="314"/>
            </w:pPr>
          </w:p>
        </w:tc>
        <w:tc>
          <w:tcPr>
            <w:tcW w:w="1245" w:type="dxa"/>
            <w:vAlign w:val="top"/>
          </w:tcPr>
          <w:p w14:paraId="6FBCF8FF">
            <w:pPr>
              <w:pStyle w:val="24"/>
            </w:pPr>
          </w:p>
        </w:tc>
      </w:tr>
      <w:tr w14:paraId="607EF1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vAlign w:val="top"/>
          </w:tcPr>
          <w:p w14:paraId="54A920BB">
            <w:pPr>
              <w:pStyle w:val="24"/>
            </w:pPr>
          </w:p>
        </w:tc>
        <w:tc>
          <w:tcPr>
            <w:tcW w:w="919" w:type="dxa"/>
            <w:vAlign w:val="top"/>
          </w:tcPr>
          <w:p w14:paraId="1BBFCF07">
            <w:pPr>
              <w:pStyle w:val="24"/>
            </w:pPr>
          </w:p>
        </w:tc>
        <w:tc>
          <w:tcPr>
            <w:tcW w:w="2289" w:type="dxa"/>
            <w:vAlign w:val="top"/>
          </w:tcPr>
          <w:p w14:paraId="238EACEC">
            <w:pPr>
              <w:pStyle w:val="24"/>
            </w:pPr>
          </w:p>
        </w:tc>
        <w:tc>
          <w:tcPr>
            <w:tcW w:w="1238" w:type="dxa"/>
            <w:vAlign w:val="top"/>
          </w:tcPr>
          <w:p w14:paraId="75E51CC0">
            <w:pPr>
              <w:pStyle w:val="24"/>
            </w:pPr>
          </w:p>
        </w:tc>
        <w:tc>
          <w:tcPr>
            <w:tcW w:w="1245" w:type="dxa"/>
            <w:vAlign w:val="top"/>
          </w:tcPr>
          <w:p w14:paraId="06FF3C1B">
            <w:pPr>
              <w:pStyle w:val="24"/>
            </w:pPr>
          </w:p>
        </w:tc>
        <w:tc>
          <w:tcPr>
            <w:tcW w:w="1245" w:type="dxa"/>
            <w:vAlign w:val="top"/>
          </w:tcPr>
          <w:p w14:paraId="5C8B1A3D">
            <w:pPr>
              <w:pStyle w:val="24"/>
            </w:pPr>
          </w:p>
        </w:tc>
      </w:tr>
      <w:tr w14:paraId="57C374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76CC6502">
            <w:pPr>
              <w:pStyle w:val="24"/>
            </w:pPr>
          </w:p>
        </w:tc>
        <w:tc>
          <w:tcPr>
            <w:tcW w:w="919" w:type="dxa"/>
            <w:vAlign w:val="top"/>
          </w:tcPr>
          <w:p w14:paraId="22DED3EC">
            <w:pPr>
              <w:pStyle w:val="24"/>
            </w:pPr>
          </w:p>
        </w:tc>
        <w:tc>
          <w:tcPr>
            <w:tcW w:w="2289" w:type="dxa"/>
            <w:vAlign w:val="top"/>
          </w:tcPr>
          <w:p w14:paraId="22279F68">
            <w:pPr>
              <w:pStyle w:val="24"/>
            </w:pPr>
          </w:p>
        </w:tc>
        <w:tc>
          <w:tcPr>
            <w:tcW w:w="1238" w:type="dxa"/>
            <w:vAlign w:val="top"/>
          </w:tcPr>
          <w:p w14:paraId="451706B1">
            <w:pPr>
              <w:pStyle w:val="24"/>
            </w:pPr>
          </w:p>
        </w:tc>
        <w:tc>
          <w:tcPr>
            <w:tcW w:w="1245" w:type="dxa"/>
            <w:vAlign w:val="top"/>
          </w:tcPr>
          <w:p w14:paraId="4C95703C">
            <w:pPr>
              <w:pStyle w:val="24"/>
            </w:pPr>
          </w:p>
        </w:tc>
        <w:tc>
          <w:tcPr>
            <w:tcW w:w="1245" w:type="dxa"/>
            <w:vAlign w:val="top"/>
          </w:tcPr>
          <w:p w14:paraId="60889A79">
            <w:pPr>
              <w:pStyle w:val="24"/>
            </w:pPr>
          </w:p>
        </w:tc>
      </w:tr>
      <w:tr w14:paraId="17E75C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vAlign w:val="top"/>
          </w:tcPr>
          <w:p w14:paraId="774341DD">
            <w:pPr>
              <w:pStyle w:val="24"/>
            </w:pPr>
          </w:p>
        </w:tc>
        <w:tc>
          <w:tcPr>
            <w:tcW w:w="919" w:type="dxa"/>
            <w:vAlign w:val="top"/>
          </w:tcPr>
          <w:p w14:paraId="68D2552E">
            <w:pPr>
              <w:pStyle w:val="24"/>
            </w:pPr>
          </w:p>
        </w:tc>
        <w:tc>
          <w:tcPr>
            <w:tcW w:w="2289" w:type="dxa"/>
            <w:vAlign w:val="top"/>
          </w:tcPr>
          <w:p w14:paraId="1E79A586">
            <w:pPr>
              <w:pStyle w:val="24"/>
            </w:pPr>
          </w:p>
        </w:tc>
        <w:tc>
          <w:tcPr>
            <w:tcW w:w="1238" w:type="dxa"/>
            <w:vAlign w:val="top"/>
          </w:tcPr>
          <w:p w14:paraId="17919EEC">
            <w:pPr>
              <w:pStyle w:val="24"/>
            </w:pPr>
          </w:p>
        </w:tc>
        <w:tc>
          <w:tcPr>
            <w:tcW w:w="1245" w:type="dxa"/>
            <w:vAlign w:val="top"/>
          </w:tcPr>
          <w:p w14:paraId="2BB87D59">
            <w:pPr>
              <w:pStyle w:val="24"/>
            </w:pPr>
          </w:p>
        </w:tc>
        <w:tc>
          <w:tcPr>
            <w:tcW w:w="1245" w:type="dxa"/>
            <w:vAlign w:val="top"/>
          </w:tcPr>
          <w:p w14:paraId="4CCAE5FE">
            <w:pPr>
              <w:pStyle w:val="24"/>
            </w:pPr>
          </w:p>
        </w:tc>
      </w:tr>
    </w:tbl>
    <w:p w14:paraId="757D1BA6">
      <w:r>
        <w:br w:type="page"/>
      </w:r>
    </w:p>
    <w:p w14:paraId="3EAE7809">
      <w:pPr>
        <w:pStyle w:val="25"/>
        <w:bidi w:val="0"/>
      </w:pPr>
      <w:r>
        <w:t>目的</w:t>
      </w:r>
    </w:p>
    <w:p w14:paraId="769BCC3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z w:val="24"/>
          <w:szCs w:val="24"/>
        </w:rPr>
      </w:pPr>
      <w:r>
        <w:rPr>
          <w:rFonts w:ascii="宋体" w:hAnsi="宋体" w:eastAsia="宋体" w:cs="宋体"/>
          <w:spacing w:val="-1"/>
          <w:sz w:val="24"/>
          <w:szCs w:val="24"/>
        </w:rPr>
        <w:t>服务目录是运维服务能力管理的基础，它描述了公</w:t>
      </w:r>
      <w:r>
        <w:rPr>
          <w:rFonts w:ascii="宋体" w:hAnsi="宋体" w:eastAsia="宋体" w:cs="宋体"/>
          <w:spacing w:val="-2"/>
          <w:sz w:val="24"/>
          <w:szCs w:val="24"/>
        </w:rPr>
        <w:t>司可以为顾客提供哪些服务，一个良好的服务目录可以帮助用户识别什么服务对他们是有效的，它是SLA</w:t>
      </w:r>
      <w:r>
        <w:rPr>
          <w:rFonts w:ascii="宋体" w:hAnsi="宋体" w:eastAsia="宋体" w:cs="宋体"/>
          <w:spacing w:val="-3"/>
          <w:sz w:val="24"/>
          <w:szCs w:val="24"/>
        </w:rPr>
        <w:t>的基础。</w:t>
      </w:r>
    </w:p>
    <w:p w14:paraId="733B60C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为此公司要建立准确、有效的服务目标，对服务目录进行优化和管理，保证</w:t>
      </w:r>
      <w:r>
        <w:rPr>
          <w:rFonts w:ascii="宋体" w:hAnsi="宋体" w:eastAsia="宋体" w:cs="宋体"/>
          <w:spacing w:val="-1"/>
          <w:sz w:val="24"/>
          <w:szCs w:val="24"/>
        </w:rPr>
        <w:t>服务目录的持续、有效。</w:t>
      </w:r>
    </w:p>
    <w:p w14:paraId="655B0544">
      <w:pPr>
        <w:pStyle w:val="25"/>
        <w:bidi w:val="0"/>
      </w:pPr>
      <w:bookmarkStart w:id="0" w:name="bookmark3"/>
      <w:bookmarkEnd w:id="0"/>
      <w:bookmarkStart w:id="1" w:name="bookmark4"/>
      <w:bookmarkEnd w:id="1"/>
      <w:r>
        <w:t>适用范围</w:t>
      </w:r>
    </w:p>
    <w:p w14:paraId="475DE75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适用于公司组织级服务目录的建立、监控、更新等全过程管理。</w:t>
      </w:r>
    </w:p>
    <w:p w14:paraId="53DB5F34">
      <w:pPr>
        <w:pStyle w:val="25"/>
        <w:bidi w:val="0"/>
      </w:pPr>
      <w:bookmarkStart w:id="2" w:name="bookmark8"/>
      <w:bookmarkEnd w:id="2"/>
      <w:bookmarkStart w:id="3" w:name="bookmark7"/>
      <w:bookmarkEnd w:id="3"/>
      <w:bookmarkStart w:id="4" w:name="bookmark6"/>
      <w:bookmarkEnd w:id="4"/>
      <w:bookmarkStart w:id="5" w:name="bookmark5"/>
      <w:bookmarkEnd w:id="5"/>
      <w:r>
        <w:t>职责</w:t>
      </w:r>
    </w:p>
    <w:p w14:paraId="7B7154AB">
      <w:pPr>
        <w:pStyle w:val="26"/>
        <w:bidi w:val="0"/>
      </w:pPr>
      <w:bookmarkStart w:id="6" w:name="bookmark29"/>
      <w:bookmarkEnd w:id="6"/>
      <w:r>
        <w:t>管理者代表</w:t>
      </w:r>
    </w:p>
    <w:p w14:paraId="283552AC">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负责服务目录的确定和定期评审，以保证对服务目录的正确性和完整性。</w:t>
      </w:r>
    </w:p>
    <w:p w14:paraId="2FAAC220">
      <w:pPr>
        <w:pStyle w:val="26"/>
        <w:bidi w:val="0"/>
        <w:rPr>
          <w:rFonts w:hint="eastAsia"/>
          <w:lang w:val="en-US" w:eastAsia="zh-CN"/>
        </w:rPr>
      </w:pPr>
      <w:bookmarkStart w:id="7" w:name="bookmark9"/>
      <w:bookmarkEnd w:id="7"/>
      <w:bookmarkStart w:id="8" w:name="bookmark10"/>
      <w:bookmarkEnd w:id="8"/>
      <w:r>
        <w:rPr>
          <w:rFonts w:hint="eastAsia"/>
          <w:lang w:val="en-US" w:eastAsia="zh-CN"/>
        </w:rPr>
        <w:t>人力部门</w:t>
      </w:r>
    </w:p>
    <w:p w14:paraId="209D676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负责满足服务目录实施要求的人员招聘及培训。</w:t>
      </w:r>
    </w:p>
    <w:p w14:paraId="30A07A49">
      <w:pPr>
        <w:pStyle w:val="26"/>
        <w:bidi w:val="0"/>
        <w:rPr>
          <w:rFonts w:hint="eastAsia"/>
          <w:lang w:val="en-US" w:eastAsia="zh-CN"/>
        </w:rPr>
      </w:pPr>
      <w:bookmarkStart w:id="9" w:name="bookmark11"/>
      <w:bookmarkEnd w:id="9"/>
      <w:bookmarkStart w:id="10" w:name="bookmark12"/>
      <w:bookmarkEnd w:id="10"/>
      <w:r>
        <w:rPr>
          <w:rFonts w:hint="eastAsia"/>
          <w:lang w:val="en-US" w:eastAsia="zh-CN"/>
        </w:rPr>
        <w:t>运维部门</w:t>
      </w:r>
    </w:p>
    <w:p w14:paraId="66558DA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负责调查了解用户服务需求；对运维业务的外部环境及发展状况提出意见、评审服务目录及对服务目录提出意见。负责参与服务目录的定期评审，以及不定期修订。</w:t>
      </w:r>
    </w:p>
    <w:p w14:paraId="2D83EC70">
      <w:pPr>
        <w:pStyle w:val="25"/>
        <w:bidi w:val="0"/>
      </w:pPr>
      <w:bookmarkStart w:id="11" w:name="bookmark15"/>
      <w:bookmarkEnd w:id="11"/>
      <w:bookmarkStart w:id="12" w:name="bookmark16"/>
      <w:bookmarkEnd w:id="12"/>
      <w:bookmarkStart w:id="13" w:name="bookmark14"/>
      <w:bookmarkEnd w:id="13"/>
      <w:bookmarkStart w:id="14" w:name="bookmark13"/>
      <w:bookmarkEnd w:id="14"/>
      <w:r>
        <w:t>具体内容</w:t>
      </w:r>
    </w:p>
    <w:p w14:paraId="4813C326">
      <w:pPr>
        <w:pStyle w:val="26"/>
        <w:bidi w:val="0"/>
      </w:pPr>
      <w:bookmarkStart w:id="15" w:name="bookmark30"/>
      <w:bookmarkEnd w:id="15"/>
      <w:r>
        <w:t xml:space="preserve"> 建立服务目录</w:t>
      </w:r>
    </w:p>
    <w:p w14:paraId="0A58F371">
      <w:pPr>
        <w:spacing w:before="182" w:line="326" w:lineRule="auto"/>
        <w:ind w:left="23" w:right="140" w:firstLine="420"/>
        <w:rPr>
          <w:rFonts w:ascii="宋体" w:hAnsi="宋体" w:eastAsia="宋体" w:cs="宋体"/>
          <w:sz w:val="24"/>
          <w:szCs w:val="24"/>
        </w:rPr>
      </w:pPr>
      <w:r>
        <w:rPr>
          <w:rFonts w:ascii="宋体" w:hAnsi="宋体" w:eastAsia="宋体" w:cs="宋体"/>
          <w:sz w:val="24"/>
          <w:szCs w:val="24"/>
        </w:rPr>
        <w:t>服务目录是公司提供服务依据的基础性文件,服务</w:t>
      </w:r>
      <w:r>
        <w:rPr>
          <w:rFonts w:ascii="宋体" w:hAnsi="宋体" w:eastAsia="宋体" w:cs="宋体"/>
          <w:spacing w:val="-1"/>
          <w:sz w:val="24"/>
          <w:szCs w:val="24"/>
        </w:rPr>
        <w:t>目录分为组织级和项目级</w:t>
      </w:r>
      <w:r>
        <w:rPr>
          <w:rFonts w:ascii="宋体" w:hAnsi="宋体" w:eastAsia="宋体" w:cs="宋体"/>
          <w:spacing w:val="-2"/>
          <w:sz w:val="24"/>
          <w:szCs w:val="24"/>
        </w:rPr>
        <w:t>服务目录：</w:t>
      </w:r>
    </w:p>
    <w:p w14:paraId="17FEF40D">
      <w:pPr>
        <w:numPr>
          <w:ilvl w:val="0"/>
          <w:numId w:val="2"/>
        </w:numPr>
        <w:spacing w:before="1" w:line="292" w:lineRule="auto"/>
        <w:ind w:left="425" w:leftChars="0" w:right="54" w:hanging="425" w:firstLineChars="0"/>
        <w:rPr>
          <w:rFonts w:ascii="宋体" w:hAnsi="宋体" w:eastAsia="宋体" w:cs="宋体"/>
          <w:sz w:val="24"/>
          <w:szCs w:val="24"/>
        </w:rPr>
      </w:pPr>
      <w:r>
        <w:rPr>
          <w:rFonts w:ascii="宋体" w:hAnsi="宋体" w:eastAsia="宋体" w:cs="宋体"/>
          <w:spacing w:val="2"/>
          <w:sz w:val="24"/>
          <w:szCs w:val="24"/>
        </w:rPr>
        <w:t>组织级服务目录是针对公司可以提供的服务名称、服务内容、响应</w:t>
      </w:r>
      <w:r>
        <w:rPr>
          <w:rFonts w:ascii="宋体" w:hAnsi="宋体" w:eastAsia="宋体" w:cs="宋体"/>
          <w:spacing w:val="-1"/>
          <w:sz w:val="24"/>
          <w:szCs w:val="24"/>
        </w:rPr>
        <w:t>方式、服务频度、交付方式、交付成果等服务属性；</w:t>
      </w:r>
    </w:p>
    <w:p w14:paraId="6675CA56">
      <w:pPr>
        <w:numPr>
          <w:ilvl w:val="0"/>
          <w:numId w:val="2"/>
        </w:numPr>
        <w:spacing w:before="175" w:line="293" w:lineRule="auto"/>
        <w:ind w:left="425" w:leftChars="0" w:right="54" w:hanging="425" w:firstLineChars="0"/>
        <w:rPr>
          <w:rFonts w:ascii="宋体" w:hAnsi="宋体" w:eastAsia="宋体" w:cs="宋体"/>
          <w:sz w:val="24"/>
          <w:szCs w:val="24"/>
        </w:rPr>
      </w:pPr>
      <w:r>
        <w:rPr>
          <w:rFonts w:ascii="宋体" w:hAnsi="宋体" w:eastAsia="宋体" w:cs="宋体"/>
          <w:spacing w:val="2"/>
          <w:sz w:val="24"/>
          <w:szCs w:val="24"/>
        </w:rPr>
        <w:t>项目级服务目录是基于公司服务目录，结合项目客户需求建立的一</w:t>
      </w:r>
      <w:r>
        <w:rPr>
          <w:rFonts w:ascii="宋体" w:hAnsi="宋体" w:eastAsia="宋体" w:cs="宋体"/>
          <w:spacing w:val="-1"/>
          <w:sz w:val="24"/>
          <w:szCs w:val="24"/>
        </w:rPr>
        <w:t>个针对特定客户或特定服务项目所建立的服务描述性文件。</w:t>
      </w:r>
    </w:p>
    <w:p w14:paraId="690C32E9">
      <w:pPr>
        <w:spacing w:before="260" w:line="219" w:lineRule="auto"/>
        <w:ind w:left="503"/>
        <w:rPr>
          <w:rFonts w:ascii="宋体" w:hAnsi="宋体" w:eastAsia="宋体" w:cs="宋体"/>
          <w:sz w:val="24"/>
          <w:szCs w:val="24"/>
        </w:rPr>
      </w:pPr>
      <w:r>
        <w:rPr>
          <w:rFonts w:ascii="宋体" w:hAnsi="宋体" w:eastAsia="宋体" w:cs="宋体"/>
          <w:spacing w:val="-1"/>
          <w:sz w:val="24"/>
          <w:szCs w:val="24"/>
        </w:rPr>
        <w:t>运维服务目录包括以下内容：</w:t>
      </w:r>
    </w:p>
    <w:p w14:paraId="74A77CF0">
      <w:pPr>
        <w:numPr>
          <w:ilvl w:val="0"/>
          <w:numId w:val="3"/>
        </w:numPr>
        <w:spacing w:before="183" w:line="219" w:lineRule="auto"/>
        <w:ind w:left="506"/>
        <w:rPr>
          <w:rFonts w:ascii="宋体" w:hAnsi="宋体" w:eastAsia="宋体" w:cs="宋体"/>
          <w:spacing w:val="-4"/>
          <w:sz w:val="24"/>
          <w:szCs w:val="24"/>
        </w:rPr>
      </w:pPr>
      <w:r>
        <w:rPr>
          <w:rFonts w:ascii="宋体" w:hAnsi="宋体" w:eastAsia="宋体" w:cs="宋体"/>
          <w:spacing w:val="-4"/>
          <w:sz w:val="24"/>
          <w:szCs w:val="24"/>
        </w:rPr>
        <w:t>运维服务的分类。</w:t>
      </w:r>
    </w:p>
    <w:p w14:paraId="179B0B55">
      <w:pPr>
        <w:numPr>
          <w:ilvl w:val="0"/>
          <w:numId w:val="3"/>
        </w:numPr>
        <w:spacing w:before="183" w:line="219" w:lineRule="auto"/>
        <w:ind w:left="506"/>
        <w:rPr>
          <w:rFonts w:ascii="宋体" w:hAnsi="宋体" w:eastAsia="宋体" w:cs="宋体"/>
          <w:spacing w:val="-4"/>
          <w:sz w:val="24"/>
          <w:szCs w:val="24"/>
        </w:rPr>
      </w:pPr>
      <w:r>
        <w:rPr>
          <w:rFonts w:ascii="宋体" w:hAnsi="宋体" w:eastAsia="宋体" w:cs="宋体"/>
          <w:spacing w:val="-3"/>
          <w:sz w:val="24"/>
          <w:szCs w:val="24"/>
        </w:rPr>
        <w:t>运维服务名称。</w:t>
      </w:r>
    </w:p>
    <w:p w14:paraId="4DB8B775">
      <w:pPr>
        <w:spacing w:before="114" w:line="219" w:lineRule="auto"/>
        <w:ind w:left="493"/>
        <w:rPr>
          <w:rFonts w:ascii="宋体" w:hAnsi="宋体" w:eastAsia="宋体" w:cs="宋体"/>
          <w:sz w:val="24"/>
          <w:szCs w:val="24"/>
        </w:rPr>
      </w:pPr>
      <w:r>
        <w:rPr>
          <w:rFonts w:ascii="宋体" w:hAnsi="宋体" w:eastAsia="宋体" w:cs="宋体"/>
          <w:sz w:val="24"/>
          <w:szCs w:val="24"/>
        </w:rPr>
        <w:t>3) 运维服务目标或标准（服务指标和质量标准）。</w:t>
      </w:r>
    </w:p>
    <w:p w14:paraId="5CD1BFB7">
      <w:pPr>
        <w:spacing w:before="182" w:line="219" w:lineRule="auto"/>
        <w:ind w:left="488"/>
        <w:rPr>
          <w:rFonts w:ascii="宋体" w:hAnsi="宋体" w:eastAsia="宋体" w:cs="宋体"/>
          <w:sz w:val="24"/>
          <w:szCs w:val="24"/>
        </w:rPr>
      </w:pPr>
      <w:r>
        <w:rPr>
          <w:rFonts w:ascii="宋体" w:hAnsi="宋体" w:eastAsia="宋体" w:cs="宋体"/>
          <w:spacing w:val="-2"/>
          <w:sz w:val="24"/>
          <w:szCs w:val="24"/>
        </w:rPr>
        <w:t>4)</w:t>
      </w:r>
      <w:r>
        <w:rPr>
          <w:rFonts w:ascii="宋体" w:hAnsi="宋体" w:eastAsia="宋体" w:cs="宋体"/>
          <w:spacing w:val="27"/>
          <w:sz w:val="24"/>
          <w:szCs w:val="24"/>
        </w:rPr>
        <w:t xml:space="preserve"> </w:t>
      </w:r>
      <w:r>
        <w:rPr>
          <w:rFonts w:ascii="宋体" w:hAnsi="宋体" w:eastAsia="宋体" w:cs="宋体"/>
          <w:spacing w:val="-2"/>
          <w:sz w:val="24"/>
          <w:szCs w:val="24"/>
        </w:rPr>
        <w:t>运维服务提供时间。</w:t>
      </w:r>
    </w:p>
    <w:p w14:paraId="04DB4156">
      <w:pPr>
        <w:spacing w:before="184" w:line="219" w:lineRule="auto"/>
        <w:ind w:left="493"/>
        <w:rPr>
          <w:rFonts w:ascii="宋体" w:hAnsi="宋体" w:eastAsia="宋体" w:cs="宋体"/>
          <w:sz w:val="24"/>
          <w:szCs w:val="24"/>
        </w:rPr>
      </w:pPr>
      <w:r>
        <w:rPr>
          <w:rFonts w:ascii="宋体" w:hAnsi="宋体" w:eastAsia="宋体" w:cs="宋体"/>
          <w:spacing w:val="-3"/>
          <w:sz w:val="24"/>
          <w:szCs w:val="24"/>
        </w:rPr>
        <w:t>5)</w:t>
      </w:r>
      <w:r>
        <w:rPr>
          <w:rFonts w:ascii="宋体" w:hAnsi="宋体" w:eastAsia="宋体" w:cs="宋体"/>
          <w:spacing w:val="35"/>
          <w:sz w:val="24"/>
          <w:szCs w:val="24"/>
        </w:rPr>
        <w:t xml:space="preserve"> </w:t>
      </w:r>
      <w:r>
        <w:rPr>
          <w:rFonts w:ascii="宋体" w:hAnsi="宋体" w:eastAsia="宋体" w:cs="宋体"/>
          <w:spacing w:val="-3"/>
          <w:sz w:val="24"/>
          <w:szCs w:val="24"/>
        </w:rPr>
        <w:t>交付内容和交付周期。</w:t>
      </w:r>
    </w:p>
    <w:p w14:paraId="4D5F2A5C">
      <w:pPr>
        <w:pStyle w:val="26"/>
        <w:bidi w:val="0"/>
      </w:pPr>
      <w:bookmarkStart w:id="16" w:name="bookmark18"/>
      <w:bookmarkEnd w:id="16"/>
      <w:bookmarkStart w:id="17" w:name="bookmark17"/>
      <w:bookmarkEnd w:id="17"/>
      <w:r>
        <w:t>监控服务目录</w:t>
      </w:r>
    </w:p>
    <w:p w14:paraId="74147C7A">
      <w:pPr>
        <w:spacing w:before="182" w:line="326" w:lineRule="auto"/>
        <w:ind w:left="23" w:right="140" w:firstLine="420"/>
        <w:rPr>
          <w:rFonts w:ascii="宋体" w:hAnsi="宋体" w:eastAsia="宋体" w:cs="宋体"/>
          <w:sz w:val="24"/>
          <w:szCs w:val="24"/>
        </w:rPr>
      </w:pPr>
      <w:r>
        <w:rPr>
          <w:rFonts w:ascii="宋体" w:hAnsi="宋体" w:eastAsia="宋体" w:cs="宋体"/>
          <w:sz w:val="24"/>
          <w:szCs w:val="24"/>
        </w:rPr>
        <w:t>公司管理层组织相关部门负责人每年至少一次对服务目录管理情况进行总结与评估，识别出相关的问题，提出改进建议。改进建议来源：</w:t>
      </w:r>
    </w:p>
    <w:p w14:paraId="4D84A777">
      <w:pPr>
        <w:numPr>
          <w:ilvl w:val="0"/>
          <w:numId w:val="4"/>
        </w:numPr>
        <w:spacing w:before="185" w:line="219" w:lineRule="auto"/>
        <w:ind w:left="425" w:leftChars="0" w:hanging="425" w:firstLineChars="0"/>
        <w:outlineLvl w:val="1"/>
        <w:rPr>
          <w:rFonts w:ascii="宋体" w:hAnsi="宋体" w:eastAsia="宋体" w:cs="宋体"/>
          <w:sz w:val="24"/>
          <w:szCs w:val="24"/>
        </w:rPr>
      </w:pPr>
      <w:r>
        <w:rPr>
          <w:rFonts w:ascii="宋体" w:hAnsi="宋体" w:eastAsia="宋体" w:cs="宋体"/>
          <w:spacing w:val="-1"/>
          <w:sz w:val="24"/>
          <w:szCs w:val="24"/>
        </w:rPr>
        <w:t>运维过程中</w:t>
      </w:r>
      <w:r>
        <w:rPr>
          <w:rFonts w:hint="eastAsia" w:ascii="宋体" w:hAnsi="宋体" w:eastAsia="宋体" w:cs="宋体"/>
          <w:spacing w:val="-1"/>
          <w:sz w:val="24"/>
          <w:szCs w:val="24"/>
          <w:lang w:val="en-US" w:eastAsia="zh-CN"/>
        </w:rPr>
        <w:t>客户</w:t>
      </w:r>
      <w:r>
        <w:rPr>
          <w:rFonts w:ascii="宋体" w:hAnsi="宋体" w:eastAsia="宋体" w:cs="宋体"/>
          <w:spacing w:val="-1"/>
          <w:sz w:val="24"/>
          <w:szCs w:val="24"/>
        </w:rPr>
        <w:t>提出的超过服务目录范围的需求；</w:t>
      </w:r>
    </w:p>
    <w:p w14:paraId="1704F9A4">
      <w:pPr>
        <w:numPr>
          <w:ilvl w:val="0"/>
          <w:numId w:val="4"/>
        </w:numPr>
        <w:spacing w:before="184" w:line="219" w:lineRule="auto"/>
        <w:ind w:left="425" w:leftChars="0" w:hanging="425" w:firstLineChars="0"/>
        <w:outlineLvl w:val="1"/>
        <w:rPr>
          <w:rFonts w:ascii="宋体" w:hAnsi="宋体" w:eastAsia="宋体" w:cs="宋体"/>
          <w:sz w:val="24"/>
          <w:szCs w:val="24"/>
        </w:rPr>
      </w:pPr>
      <w:r>
        <w:rPr>
          <w:rFonts w:ascii="宋体" w:hAnsi="宋体" w:eastAsia="宋体" w:cs="宋体"/>
          <w:spacing w:val="-2"/>
          <w:sz w:val="24"/>
          <w:szCs w:val="24"/>
        </w:rPr>
        <w:t>市场服务需求的变化。</w:t>
      </w:r>
    </w:p>
    <w:p w14:paraId="73DD508C">
      <w:pPr>
        <w:spacing w:before="182" w:line="326" w:lineRule="auto"/>
        <w:ind w:left="23" w:right="140" w:firstLine="420"/>
        <w:rPr>
          <w:rFonts w:ascii="宋体" w:hAnsi="宋体" w:eastAsia="宋体" w:cs="宋体"/>
          <w:sz w:val="24"/>
          <w:szCs w:val="24"/>
        </w:rPr>
      </w:pPr>
      <w:r>
        <w:rPr>
          <w:rFonts w:ascii="宋体" w:hAnsi="宋体" w:eastAsia="宋体" w:cs="宋体"/>
          <w:sz w:val="24"/>
          <w:szCs w:val="24"/>
        </w:rPr>
        <w:t>同时，相关部门负责人应该定期收集各业务模块顾客提出的相关建议，分析运维过程中存在的问题，并向公司管理层、战略客户部提出改进建议。</w:t>
      </w:r>
    </w:p>
    <w:p w14:paraId="0038C6BD">
      <w:pPr>
        <w:pStyle w:val="26"/>
        <w:bidi w:val="0"/>
      </w:pPr>
      <w:bookmarkStart w:id="18" w:name="bookmark20"/>
      <w:bookmarkEnd w:id="18"/>
      <w:bookmarkStart w:id="19" w:name="bookmark19"/>
      <w:bookmarkEnd w:id="19"/>
      <w:r>
        <w:t>定期评审</w:t>
      </w:r>
    </w:p>
    <w:p w14:paraId="4AB1702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运维部负责人每年年底组织一次对现有服务目录的评审，评审结果及后续改进意见应保留，对于评审中发现的服务目录</w:t>
      </w:r>
      <w:r>
        <w:rPr>
          <w:rFonts w:hint="eastAsia" w:ascii="宋体" w:hAnsi="宋体" w:eastAsia="宋体" w:cs="宋体"/>
          <w:spacing w:val="-1"/>
          <w:sz w:val="24"/>
          <w:szCs w:val="24"/>
          <w:lang w:val="en-US" w:eastAsia="zh-CN"/>
        </w:rPr>
        <w:t>中</w:t>
      </w:r>
      <w:r>
        <w:rPr>
          <w:rFonts w:ascii="宋体" w:hAnsi="宋体" w:eastAsia="宋体" w:cs="宋体"/>
          <w:spacing w:val="-1"/>
          <w:sz w:val="24"/>
          <w:szCs w:val="24"/>
        </w:rPr>
        <w:t>存在</w:t>
      </w:r>
      <w:r>
        <w:rPr>
          <w:rFonts w:hint="eastAsia" w:ascii="宋体" w:hAnsi="宋体" w:eastAsia="宋体" w:cs="宋体"/>
          <w:spacing w:val="-1"/>
          <w:sz w:val="24"/>
          <w:szCs w:val="24"/>
          <w:lang w:val="en-US" w:eastAsia="zh-CN"/>
        </w:rPr>
        <w:t>的</w:t>
      </w:r>
      <w:r>
        <w:rPr>
          <w:rFonts w:ascii="宋体" w:hAnsi="宋体" w:eastAsia="宋体" w:cs="宋体"/>
          <w:spacing w:val="-1"/>
          <w:sz w:val="24"/>
          <w:szCs w:val="24"/>
        </w:rPr>
        <w:t>问题，指定专人进行修订和改进。</w:t>
      </w:r>
    </w:p>
    <w:p w14:paraId="4AB0F96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运维服务目录的评审应当对服务市场前景、公司3-5年业务发展规划、既往1-3年运维情况进行分析，并根据分析结果，确定是否对服务目录进行修订。</w:t>
      </w:r>
    </w:p>
    <w:p w14:paraId="7734FA4F">
      <w:pPr>
        <w:pStyle w:val="26"/>
        <w:bidi w:val="0"/>
      </w:pPr>
      <w:bookmarkStart w:id="20" w:name="bookmark21"/>
      <w:bookmarkEnd w:id="20"/>
      <w:bookmarkStart w:id="21" w:name="bookmark22"/>
      <w:bookmarkEnd w:id="21"/>
      <w:r>
        <w:t>修订和验证</w:t>
      </w:r>
    </w:p>
    <w:p w14:paraId="1CEFE7C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如需对运维服务目录进行修订，则由运维部进行运维服务目录的修订工作。</w:t>
      </w:r>
    </w:p>
    <w:p w14:paraId="281D29E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在运维服务过程中，若发现现有运维服务目录不适合时，运维部应对运维服务目录进行修订。</w:t>
      </w:r>
    </w:p>
    <w:p w14:paraId="6C653164">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运维服务目录评审会议决定修订服务目录时，由运维部组织进行服务目录修订工作。</w:t>
      </w:r>
    </w:p>
    <w:p w14:paraId="4E1F176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由运行维护服务相关部门组织人员、过程、技术等相关资源进行验证，以确</w:t>
      </w:r>
      <w:r>
        <w:rPr>
          <w:rFonts w:ascii="宋体" w:hAnsi="宋体" w:eastAsia="宋体" w:cs="宋体"/>
          <w:spacing w:val="-1"/>
          <w:sz w:val="24"/>
          <w:szCs w:val="24"/>
        </w:rPr>
        <w:t>保修订内容能够满足市场和客户需求。</w:t>
      </w:r>
    </w:p>
    <w:p w14:paraId="08A9E6E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修订后的运维服务目录，应遵循以下评审流程：由运维部负责组织，召开由公司管理者代表主持，</w:t>
      </w:r>
      <w:r>
        <w:rPr>
          <w:rFonts w:hint="eastAsia" w:ascii="宋体" w:hAnsi="宋体" w:eastAsia="宋体" w:cs="宋体"/>
          <w:spacing w:val="-1"/>
          <w:sz w:val="24"/>
          <w:szCs w:val="24"/>
          <w:lang w:val="en-US" w:eastAsia="zh-CN"/>
        </w:rPr>
        <w:t>运维部</w:t>
      </w:r>
      <w:r>
        <w:rPr>
          <w:rFonts w:ascii="宋体" w:hAnsi="宋体" w:eastAsia="宋体" w:cs="宋体"/>
          <w:spacing w:val="-1"/>
          <w:sz w:val="24"/>
          <w:szCs w:val="24"/>
        </w:rPr>
        <w:t>、</w:t>
      </w:r>
      <w:r>
        <w:rPr>
          <w:rFonts w:hint="eastAsia" w:ascii="宋体" w:hAnsi="宋体" w:eastAsia="宋体" w:cs="宋体"/>
          <w:spacing w:val="-1"/>
          <w:sz w:val="24"/>
          <w:szCs w:val="24"/>
          <w:lang w:val="en-US" w:eastAsia="zh-CN"/>
        </w:rPr>
        <w:t>人力部</w:t>
      </w:r>
      <w:r>
        <w:rPr>
          <w:rFonts w:ascii="宋体" w:hAnsi="宋体" w:eastAsia="宋体" w:cs="宋体"/>
          <w:spacing w:val="-1"/>
          <w:sz w:val="24"/>
          <w:szCs w:val="24"/>
        </w:rPr>
        <w:t>、</w:t>
      </w:r>
      <w:r>
        <w:rPr>
          <w:rFonts w:hint="eastAsia" w:ascii="宋体" w:hAnsi="宋体" w:eastAsia="宋体" w:cs="宋体"/>
          <w:spacing w:val="-1"/>
          <w:sz w:val="24"/>
          <w:szCs w:val="24"/>
          <w:lang w:val="en-US" w:eastAsia="zh-CN"/>
        </w:rPr>
        <w:t>研发部、采购部、质量部</w:t>
      </w:r>
      <w:r>
        <w:rPr>
          <w:rFonts w:ascii="宋体" w:hAnsi="宋体" w:eastAsia="宋体" w:cs="宋体"/>
          <w:spacing w:val="-1"/>
          <w:sz w:val="24"/>
          <w:szCs w:val="24"/>
        </w:rPr>
        <w:t>等相关部门负责人共同参与的评审会议。</w:t>
      </w:r>
    </w:p>
    <w:p w14:paraId="6A93F177">
      <w:pPr>
        <w:pStyle w:val="26"/>
        <w:bidi w:val="0"/>
      </w:pPr>
      <w:bookmarkStart w:id="22" w:name="bookmark24"/>
      <w:bookmarkEnd w:id="22"/>
      <w:bookmarkStart w:id="23" w:name="bookmark23"/>
      <w:bookmarkEnd w:id="23"/>
      <w:r>
        <w:t>服务目录的发布</w:t>
      </w:r>
    </w:p>
    <w:p w14:paraId="5FC7C731">
      <w:pPr>
        <w:spacing w:before="183" w:line="362" w:lineRule="auto"/>
        <w:ind w:left="25" w:right="80" w:firstLine="478"/>
        <w:rPr>
          <w:rFonts w:ascii="宋体" w:hAnsi="宋体" w:eastAsia="宋体" w:cs="宋体"/>
          <w:sz w:val="24"/>
          <w:szCs w:val="24"/>
        </w:rPr>
      </w:pPr>
      <w:r>
        <w:rPr>
          <w:rFonts w:ascii="宋体" w:hAnsi="宋体" w:eastAsia="宋体" w:cs="宋体"/>
          <w:spacing w:val="-3"/>
          <w:sz w:val="24"/>
          <w:szCs w:val="24"/>
        </w:rPr>
        <w:t>运维服务目录修订内容验证符合预期目标和要求后，由运维部提</w:t>
      </w:r>
      <w:r>
        <w:rPr>
          <w:rFonts w:ascii="宋体" w:hAnsi="宋体" w:eastAsia="宋体" w:cs="宋体"/>
          <w:spacing w:val="-4"/>
          <w:sz w:val="24"/>
          <w:szCs w:val="24"/>
        </w:rPr>
        <w:t>交公司管理</w:t>
      </w:r>
      <w:r>
        <w:rPr>
          <w:rFonts w:ascii="宋体" w:hAnsi="宋体" w:eastAsia="宋体" w:cs="宋体"/>
          <w:spacing w:val="-2"/>
          <w:sz w:val="24"/>
          <w:szCs w:val="24"/>
        </w:rPr>
        <w:t>者代表审批后发布。</w:t>
      </w:r>
    </w:p>
    <w:p w14:paraId="5A80CA3B">
      <w:pPr>
        <w:spacing w:before="114" w:line="360" w:lineRule="auto"/>
        <w:ind w:left="69" w:right="13" w:firstLine="434"/>
        <w:rPr>
          <w:rFonts w:ascii="宋体" w:hAnsi="宋体" w:eastAsia="宋体" w:cs="宋体"/>
          <w:sz w:val="24"/>
          <w:szCs w:val="24"/>
        </w:rPr>
      </w:pPr>
      <w:r>
        <w:rPr>
          <w:rFonts w:ascii="宋体" w:hAnsi="宋体" w:eastAsia="宋体" w:cs="宋体"/>
          <w:spacing w:val="-3"/>
          <w:sz w:val="24"/>
          <w:szCs w:val="24"/>
        </w:rPr>
        <w:t>运维服务目录向客户部、运维服务相关部门、公司管理人员发布</w:t>
      </w:r>
      <w:r>
        <w:rPr>
          <w:rFonts w:ascii="宋体" w:hAnsi="宋体" w:eastAsia="宋体" w:cs="宋体"/>
          <w:spacing w:val="-4"/>
          <w:sz w:val="24"/>
          <w:szCs w:val="24"/>
        </w:rPr>
        <w:t>，并提交项</w:t>
      </w:r>
      <w:bookmarkStart w:id="24" w:name="bookmark25"/>
      <w:bookmarkEnd w:id="24"/>
      <w:bookmarkStart w:id="25" w:name="bookmark26"/>
      <w:bookmarkEnd w:id="25"/>
      <w:r>
        <w:rPr>
          <w:rFonts w:ascii="宋体" w:hAnsi="宋体" w:eastAsia="宋体" w:cs="宋体"/>
          <w:spacing w:val="-8"/>
          <w:sz w:val="24"/>
          <w:szCs w:val="24"/>
        </w:rPr>
        <w:t>目部归档保存。</w:t>
      </w:r>
    </w:p>
    <w:p w14:paraId="2B99464C">
      <w:pPr>
        <w:pStyle w:val="26"/>
        <w:bidi w:val="0"/>
        <w:rPr>
          <w:rFonts w:ascii="宋体" w:hAnsi="宋体" w:eastAsia="宋体" w:cs="宋体"/>
          <w:sz w:val="24"/>
          <w:szCs w:val="24"/>
        </w:rPr>
      </w:pPr>
      <w:bookmarkStart w:id="26" w:name="bookmark33"/>
      <w:bookmarkEnd w:id="26"/>
      <w:r>
        <w:rPr>
          <w:rFonts w:ascii="宋体" w:hAnsi="宋体" w:eastAsia="宋体" w:cs="宋体"/>
          <w:spacing w:val="-50"/>
          <w:sz w:val="24"/>
          <w:szCs w:val="24"/>
        </w:rPr>
        <w:t xml:space="preserve"> </w:t>
      </w:r>
      <w:r>
        <w:rPr>
          <w:rFonts w:ascii="宋体" w:hAnsi="宋体" w:eastAsia="宋体" w:cs="宋体"/>
          <w:spacing w:val="-2"/>
          <w:sz w:val="24"/>
          <w:szCs w:val="24"/>
        </w:rPr>
        <w:t>服务目录的使用</w:t>
      </w:r>
    </w:p>
    <w:p w14:paraId="17946C1D">
      <w:pPr>
        <w:spacing w:before="182" w:line="219" w:lineRule="auto"/>
        <w:ind w:left="503"/>
        <w:rPr>
          <w:rFonts w:ascii="宋体" w:hAnsi="宋体" w:eastAsia="宋体" w:cs="宋体"/>
          <w:sz w:val="24"/>
          <w:szCs w:val="24"/>
        </w:rPr>
      </w:pPr>
      <w:r>
        <w:rPr>
          <w:rFonts w:ascii="宋体" w:hAnsi="宋体" w:eastAsia="宋体" w:cs="宋体"/>
          <w:spacing w:val="-1"/>
          <w:sz w:val="24"/>
          <w:szCs w:val="24"/>
        </w:rPr>
        <w:t>运维服务目录是客户部与客户的商务谈判和合同签订的依据。</w:t>
      </w:r>
    </w:p>
    <w:p w14:paraId="7F08F002">
      <w:pPr>
        <w:spacing w:before="183" w:line="360" w:lineRule="auto"/>
        <w:ind w:left="30" w:right="160" w:firstLine="472"/>
        <w:rPr>
          <w:rFonts w:ascii="宋体" w:hAnsi="宋体" w:eastAsia="宋体" w:cs="宋体"/>
          <w:sz w:val="24"/>
          <w:szCs w:val="24"/>
        </w:rPr>
      </w:pPr>
      <w:r>
        <w:rPr>
          <w:rFonts w:ascii="宋体" w:hAnsi="宋体" w:eastAsia="宋体" w:cs="宋体"/>
          <w:sz w:val="24"/>
          <w:szCs w:val="24"/>
        </w:rPr>
        <w:t>运维服务目录用于服务实施部门监督和执行服务</w:t>
      </w:r>
      <w:r>
        <w:rPr>
          <w:rFonts w:ascii="宋体" w:hAnsi="宋体" w:eastAsia="宋体" w:cs="宋体"/>
          <w:spacing w:val="-1"/>
          <w:sz w:val="24"/>
          <w:szCs w:val="24"/>
        </w:rPr>
        <w:t>执行过程中质量保障的参</w:t>
      </w:r>
      <w:r>
        <w:rPr>
          <w:rFonts w:ascii="宋体" w:hAnsi="宋体" w:eastAsia="宋体" w:cs="宋体"/>
          <w:spacing w:val="-5"/>
          <w:sz w:val="24"/>
          <w:szCs w:val="24"/>
        </w:rPr>
        <w:t>照依据。</w:t>
      </w:r>
    </w:p>
    <w:p w14:paraId="3294CC49">
      <w:pPr>
        <w:spacing w:line="362" w:lineRule="auto"/>
        <w:ind w:left="52" w:right="13" w:firstLine="450"/>
        <w:rPr>
          <w:rFonts w:ascii="宋体" w:hAnsi="宋体" w:eastAsia="宋体" w:cs="宋体"/>
          <w:sz w:val="24"/>
          <w:szCs w:val="24"/>
        </w:rPr>
      </w:pPr>
      <w:r>
        <w:rPr>
          <w:rFonts w:ascii="宋体" w:hAnsi="宋体" w:eastAsia="宋体" w:cs="宋体"/>
          <w:spacing w:val="-3"/>
          <w:sz w:val="24"/>
          <w:szCs w:val="24"/>
        </w:rPr>
        <w:t>任何人员在使用运维服务目录过程中不得随意修改、曲解运维服务</w:t>
      </w:r>
      <w:r>
        <w:rPr>
          <w:rFonts w:ascii="宋体" w:hAnsi="宋体" w:eastAsia="宋体" w:cs="宋体"/>
          <w:spacing w:val="-4"/>
          <w:sz w:val="24"/>
          <w:szCs w:val="24"/>
        </w:rPr>
        <w:t>目录既定</w:t>
      </w:r>
      <w:r>
        <w:rPr>
          <w:rFonts w:ascii="宋体" w:hAnsi="宋体" w:eastAsia="宋体" w:cs="宋体"/>
          <w:spacing w:val="-3"/>
          <w:sz w:val="24"/>
          <w:szCs w:val="24"/>
        </w:rPr>
        <w:t>内容、要求、指标等全部内容。</w:t>
      </w:r>
    </w:p>
    <w:p w14:paraId="41A966E8">
      <w:pPr>
        <w:pStyle w:val="25"/>
        <w:bidi w:val="0"/>
      </w:pPr>
      <w:bookmarkStart w:id="27" w:name="bookmark28"/>
      <w:bookmarkEnd w:id="27"/>
      <w:bookmarkStart w:id="28" w:name="bookmark27"/>
      <w:bookmarkEnd w:id="28"/>
      <w:r>
        <w:t>相关记录</w:t>
      </w:r>
    </w:p>
    <w:p w14:paraId="67628DA9">
      <w:pPr>
        <w:spacing w:before="231" w:line="219" w:lineRule="auto"/>
        <w:ind w:left="591"/>
        <w:outlineLvl w:val="1"/>
      </w:pPr>
      <w:r>
        <w:rPr>
          <w:rFonts w:ascii="宋体" w:hAnsi="宋体" w:eastAsia="宋体" w:cs="宋体"/>
          <w:spacing w:val="-2"/>
          <w:sz w:val="24"/>
          <w:szCs w:val="24"/>
        </w:rPr>
        <w:t>《组织级运维服务目录》</w:t>
      </w: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96BA9">
    <w:pPr>
      <w:pStyle w:val="14"/>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3672D2BC"/>
    <w:multiLevelType w:val="singleLevel"/>
    <w:tmpl w:val="3672D2BC"/>
    <w:lvl w:ilvl="0" w:tentative="0">
      <w:start w:val="1"/>
      <w:numFmt w:val="decimal"/>
      <w:lvlText w:val="%1."/>
      <w:lvlJc w:val="left"/>
      <w:pPr>
        <w:ind w:left="425" w:hanging="425"/>
      </w:pPr>
      <w:rPr>
        <w:rFonts w:hint="default"/>
      </w:rPr>
    </w:lvl>
  </w:abstractNum>
  <w:abstractNum w:abstractNumId="2">
    <w:nsid w:val="4DE922EB"/>
    <w:multiLevelType w:val="singleLevel"/>
    <w:tmpl w:val="4DE922EB"/>
    <w:lvl w:ilvl="0" w:tentative="0">
      <w:start w:val="1"/>
      <w:numFmt w:val="decimal"/>
      <w:lvlText w:val="%1."/>
      <w:lvlJc w:val="left"/>
      <w:pPr>
        <w:ind w:left="425" w:hanging="425"/>
      </w:pPr>
      <w:rPr>
        <w:rFonts w:hint="default"/>
      </w:rPr>
    </w:lvl>
  </w:abstractNum>
  <w:abstractNum w:abstractNumId="3">
    <w:nsid w:val="782B321A"/>
    <w:multiLevelType w:val="singleLevel"/>
    <w:tmpl w:val="782B321A"/>
    <w:lvl w:ilvl="0" w:tentative="0">
      <w:start w:val="1"/>
      <w:numFmt w:val="decimal"/>
      <w:suff w:val="space"/>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F1626"/>
    <w:rsid w:val="00E8173D"/>
    <w:rsid w:val="05C8669A"/>
    <w:rsid w:val="070954E4"/>
    <w:rsid w:val="0B13248D"/>
    <w:rsid w:val="0B892750"/>
    <w:rsid w:val="0B930577"/>
    <w:rsid w:val="0D41564C"/>
    <w:rsid w:val="0D660F9A"/>
    <w:rsid w:val="0FB11EE2"/>
    <w:rsid w:val="119775A7"/>
    <w:rsid w:val="16C265E3"/>
    <w:rsid w:val="1A5A3D18"/>
    <w:rsid w:val="1B8D153C"/>
    <w:rsid w:val="1DF47EFC"/>
    <w:rsid w:val="1FFE5062"/>
    <w:rsid w:val="20383D9C"/>
    <w:rsid w:val="205963E8"/>
    <w:rsid w:val="2480073C"/>
    <w:rsid w:val="2BC0763F"/>
    <w:rsid w:val="2D381E44"/>
    <w:rsid w:val="2F135073"/>
    <w:rsid w:val="30C27BDB"/>
    <w:rsid w:val="324D08CC"/>
    <w:rsid w:val="32F32A21"/>
    <w:rsid w:val="36770772"/>
    <w:rsid w:val="37BF1626"/>
    <w:rsid w:val="387B1840"/>
    <w:rsid w:val="3B6E533A"/>
    <w:rsid w:val="3C096E11"/>
    <w:rsid w:val="3E7C0C45"/>
    <w:rsid w:val="3F5A203E"/>
    <w:rsid w:val="3F9B06C8"/>
    <w:rsid w:val="4642189D"/>
    <w:rsid w:val="471A69C9"/>
    <w:rsid w:val="4FC9093A"/>
    <w:rsid w:val="511E4CB5"/>
    <w:rsid w:val="53057EDB"/>
    <w:rsid w:val="5859544B"/>
    <w:rsid w:val="5B155AC1"/>
    <w:rsid w:val="5BC619FD"/>
    <w:rsid w:val="5C717B35"/>
    <w:rsid w:val="5E133B7E"/>
    <w:rsid w:val="5E8425FB"/>
    <w:rsid w:val="6008706E"/>
    <w:rsid w:val="604D4F3F"/>
    <w:rsid w:val="618D7A19"/>
    <w:rsid w:val="62853344"/>
    <w:rsid w:val="63A4729C"/>
    <w:rsid w:val="67931B01"/>
    <w:rsid w:val="68A33FC6"/>
    <w:rsid w:val="68D91796"/>
    <w:rsid w:val="6B8974A3"/>
    <w:rsid w:val="6DC81DD9"/>
    <w:rsid w:val="6E606731"/>
    <w:rsid w:val="7851759A"/>
    <w:rsid w:val="7D1E37CD"/>
    <w:rsid w:val="7DD86C30"/>
    <w:rsid w:val="7E993157"/>
    <w:rsid w:val="7F2C2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11">
    <w:name w:val="Body Text"/>
    <w:basedOn w:val="1"/>
    <w:semiHidden/>
    <w:qFormat/>
    <w:uiPriority w:val="0"/>
    <w:rPr>
      <w:rFonts w:ascii="Arial" w:hAnsi="Arial" w:eastAsia="Arial" w:cs="Arial"/>
      <w:sz w:val="21"/>
      <w:szCs w:val="21"/>
      <w:lang w:val="en-US" w:eastAsia="en-US" w:bidi="ar-SA"/>
    </w:rPr>
  </w:style>
  <w:style w:type="paragraph" w:styleId="12">
    <w:name w:val="toc 3"/>
    <w:basedOn w:val="1"/>
    <w:next w:val="1"/>
    <w:qFormat/>
    <w:uiPriority w:val="0"/>
    <w:pPr>
      <w:ind w:left="840" w:leftChars="400"/>
    </w:pPr>
  </w:style>
  <w:style w:type="paragraph" w:styleId="13">
    <w:name w:val="footer"/>
    <w:basedOn w:val="1"/>
    <w:qFormat/>
    <w:uiPriority w:val="0"/>
    <w:pPr>
      <w:tabs>
        <w:tab w:val="center" w:pos="4153"/>
        <w:tab w:val="right" w:pos="8306"/>
      </w:tabs>
      <w:snapToGrid w:val="0"/>
      <w:jc w:val="left"/>
    </w:pPr>
    <w:rPr>
      <w:sz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5">
    <w:name w:val="toc 1"/>
    <w:basedOn w:val="1"/>
    <w:next w:val="1"/>
    <w:qFormat/>
    <w:uiPriority w:val="0"/>
    <w:rPr>
      <w:rFonts w:ascii="Arial" w:hAnsi="Arial" w:eastAsia="Microsoft JhengHei"/>
      <w:sz w:val="24"/>
    </w:rPr>
  </w:style>
  <w:style w:type="paragraph" w:styleId="16">
    <w:name w:val="toc 2"/>
    <w:basedOn w:val="1"/>
    <w:next w:val="1"/>
    <w:qFormat/>
    <w:uiPriority w:val="0"/>
    <w:pPr>
      <w:ind w:left="420" w:leftChars="200"/>
    </w:pPr>
  </w:style>
  <w:style w:type="paragraph" w:styleId="17">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1">
    <w:name w:val="柴_公司名"/>
    <w:basedOn w:val="17"/>
    <w:qFormat/>
    <w:uiPriority w:val="0"/>
    <w:pPr>
      <w:spacing w:after="600" w:afterLines="600"/>
    </w:pPr>
    <w:rPr>
      <w:rFonts w:hint="eastAsia" w:ascii="宋体" w:hAnsi="宋体" w:eastAsia="宋体" w:cs="宋体"/>
      <w:bCs/>
      <w:spacing w:val="-6"/>
      <w:sz w:val="52"/>
      <w:szCs w:val="52"/>
    </w:rPr>
  </w:style>
  <w:style w:type="paragraph" w:customStyle="1" w:styleId="22">
    <w:name w:val="柴_文档名"/>
    <w:basedOn w:val="17"/>
    <w:qFormat/>
    <w:uiPriority w:val="0"/>
    <w:pPr>
      <w:spacing w:after="900" w:afterLines="900"/>
    </w:pPr>
    <w:rPr>
      <w:rFonts w:ascii="黑体" w:hAnsi="黑体" w:eastAsia="黑体" w:cs="黑体"/>
      <w:bCs/>
      <w:spacing w:val="-7"/>
      <w:sz w:val="52"/>
      <w:szCs w:val="52"/>
    </w:rPr>
  </w:style>
  <w:style w:type="table" w:customStyle="1" w:styleId="23">
    <w:name w:val="Table Normal"/>
    <w:semiHidden/>
    <w:unhideWhenUsed/>
    <w:qFormat/>
    <w:uiPriority w:val="0"/>
    <w:tblPr>
      <w:tblCellMar>
        <w:top w:w="0" w:type="dxa"/>
        <w:left w:w="0" w:type="dxa"/>
        <w:bottom w:w="0" w:type="dxa"/>
        <w:right w:w="0" w:type="dxa"/>
      </w:tblCellMar>
    </w:tblPr>
  </w:style>
  <w:style w:type="paragraph" w:customStyle="1" w:styleId="24">
    <w:name w:val="Table Text"/>
    <w:basedOn w:val="1"/>
    <w:semiHidden/>
    <w:qFormat/>
    <w:uiPriority w:val="0"/>
    <w:rPr>
      <w:rFonts w:ascii="宋体" w:hAnsi="宋体" w:eastAsia="宋体" w:cs="宋体"/>
      <w:sz w:val="21"/>
      <w:szCs w:val="21"/>
      <w:lang w:val="en-US" w:eastAsia="en-US" w:bidi="ar-SA"/>
    </w:rPr>
  </w:style>
  <w:style w:type="paragraph" w:customStyle="1" w:styleId="25">
    <w:name w:val="柴_标题1"/>
    <w:basedOn w:val="2"/>
    <w:next w:val="1"/>
    <w:qFormat/>
    <w:uiPriority w:val="0"/>
    <w:pPr>
      <w:spacing w:before="100" w:after="90" w:line="360" w:lineRule="auto"/>
    </w:pPr>
    <w:rPr>
      <w:rFonts w:ascii="Arial" w:hAnsi="Arial" w:eastAsia="宋体"/>
      <w:sz w:val="32"/>
    </w:rPr>
  </w:style>
  <w:style w:type="paragraph" w:customStyle="1" w:styleId="26">
    <w:name w:val="柴_标题2"/>
    <w:basedOn w:val="3"/>
    <w:next w:val="1"/>
    <w:qFormat/>
    <w:uiPriority w:val="0"/>
    <w:pPr>
      <w:spacing w:line="360" w:lineRule="auto"/>
    </w:pPr>
    <w:rPr>
      <w:rFonts w:ascii="Arial" w:hAnsi="Arial" w:eastAsia="宋体"/>
      <w:sz w:val="28"/>
    </w:rPr>
  </w:style>
  <w:style w:type="paragraph" w:customStyle="1" w:styleId="27">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28">
    <w:name w:val="柴_目录"/>
    <w:basedOn w:val="1"/>
    <w:next w:val="11"/>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1386</Words>
  <Characters>1461</Characters>
  <Lines>0</Lines>
  <Paragraphs>0</Paragraphs>
  <TotalTime>6</TotalTime>
  <ScaleCrop>false</ScaleCrop>
  <LinksUpToDate>false</LinksUpToDate>
  <CharactersWithSpaces>1475</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2025-09-03T17:35:11Z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CDE73F44C53C4EBB8E1AD6244F5C19E4_11</vt:lpwstr>
  </property>
  <property fmtid="{D5CDD505-2E9C-101B-9397-08002B2CF9AE}" pid="4" name="KSOTemplateDocerSaveRecord">
    <vt:lpwstr>eyJoZGlkIjoiMDY5NmFjMmM4ZTljMGJiZDAxN2JmYTc0NGI0NmFiNDgiLCJ1c2VySWQiOiIxMDc1MzgyOSJ9</vt:lpwstr>
  </property>
</Properties>
</file>