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bookmarkStart w:id="0" w:name="_Toc27426"/>
      <w:r>
        <w:rPr>
          <w:rFonts w:hint="eastAsia"/>
          <w:lang w:val="en-US" w:eastAsia="zh-CN"/>
        </w:rPr>
        <w:t>万洲奇智（青岛）信息科技有限</w:t>
      </w:r>
      <w:r>
        <w:t>公司</w:t>
      </w:r>
      <w:bookmarkEnd w:id="0"/>
    </w:p>
    <w:p w14:paraId="3D74D20A">
      <w:pPr>
        <w:pStyle w:val="22"/>
        <w:bidi w:val="0"/>
      </w:pPr>
      <w:bookmarkStart w:id="1" w:name="_Toc19220"/>
      <w:r>
        <w:t>运维服务目录管理规范</w:t>
      </w:r>
      <w:bookmarkEnd w:id="1"/>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238" w:type="dxa"/>
            <w:vAlign w:val="top"/>
          </w:tcPr>
          <w:p w14:paraId="70C086CB">
            <w:pPr>
              <w:spacing w:before="172" w:line="228" w:lineRule="auto"/>
              <w:ind w:left="313"/>
            </w:pPr>
          </w:p>
        </w:tc>
        <w:tc>
          <w:tcPr>
            <w:tcW w:w="1245" w:type="dxa"/>
            <w:vAlign w:val="top"/>
          </w:tcPr>
          <w:p w14:paraId="35AEC507">
            <w:pPr>
              <w:spacing w:before="172" w:line="228" w:lineRule="auto"/>
              <w:ind w:left="313"/>
            </w:pPr>
          </w:p>
        </w:tc>
        <w:tc>
          <w:tcPr>
            <w:tcW w:w="1245"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238" w:type="dxa"/>
            <w:vAlign w:val="top"/>
          </w:tcPr>
          <w:p w14:paraId="38EDD11A">
            <w:pPr>
              <w:spacing w:before="173" w:line="229" w:lineRule="auto"/>
              <w:ind w:left="314"/>
            </w:pPr>
          </w:p>
        </w:tc>
        <w:tc>
          <w:tcPr>
            <w:tcW w:w="1245" w:type="dxa"/>
            <w:vAlign w:val="top"/>
          </w:tcPr>
          <w:p w14:paraId="4B30AD5C">
            <w:pPr>
              <w:spacing w:before="173" w:line="229" w:lineRule="auto"/>
              <w:ind w:left="314"/>
            </w:pPr>
          </w:p>
        </w:tc>
        <w:tc>
          <w:tcPr>
            <w:tcW w:w="1245"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238" w:type="dxa"/>
            <w:vAlign w:val="top"/>
          </w:tcPr>
          <w:p w14:paraId="75E51CC0">
            <w:pPr>
              <w:pStyle w:val="24"/>
            </w:pPr>
          </w:p>
        </w:tc>
        <w:tc>
          <w:tcPr>
            <w:tcW w:w="1245" w:type="dxa"/>
            <w:vAlign w:val="top"/>
          </w:tcPr>
          <w:p w14:paraId="06FF3C1B">
            <w:pPr>
              <w:pStyle w:val="24"/>
            </w:pPr>
          </w:p>
        </w:tc>
        <w:tc>
          <w:tcPr>
            <w:tcW w:w="1245"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238" w:type="dxa"/>
            <w:vAlign w:val="top"/>
          </w:tcPr>
          <w:p w14:paraId="451706B1">
            <w:pPr>
              <w:pStyle w:val="24"/>
            </w:pPr>
          </w:p>
        </w:tc>
        <w:tc>
          <w:tcPr>
            <w:tcW w:w="1245" w:type="dxa"/>
            <w:vAlign w:val="top"/>
          </w:tcPr>
          <w:p w14:paraId="4C95703C">
            <w:pPr>
              <w:pStyle w:val="24"/>
            </w:pPr>
          </w:p>
        </w:tc>
        <w:tc>
          <w:tcPr>
            <w:tcW w:w="1245"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238" w:type="dxa"/>
            <w:vAlign w:val="top"/>
          </w:tcPr>
          <w:p w14:paraId="17919EEC">
            <w:pPr>
              <w:pStyle w:val="24"/>
            </w:pPr>
          </w:p>
        </w:tc>
        <w:tc>
          <w:tcPr>
            <w:tcW w:w="1245" w:type="dxa"/>
            <w:vAlign w:val="top"/>
          </w:tcPr>
          <w:p w14:paraId="2BB87D59">
            <w:pPr>
              <w:pStyle w:val="24"/>
            </w:pPr>
          </w:p>
        </w:tc>
        <w:tc>
          <w:tcPr>
            <w:tcW w:w="1245" w:type="dxa"/>
            <w:vAlign w:val="top"/>
          </w:tcPr>
          <w:p w14:paraId="4CCAE5FE">
            <w:pPr>
              <w:pStyle w:val="24"/>
            </w:pPr>
          </w:p>
        </w:tc>
      </w:tr>
    </w:tbl>
    <w:p w14:paraId="757D1BA6">
      <w:r>
        <w:br w:type="page"/>
      </w:r>
    </w:p>
    <w:sdt>
      <w:sdtPr>
        <w:rPr>
          <w:rFonts w:ascii="宋体" w:hAnsi="宋体" w:eastAsia="宋体" w:cs="Arial"/>
          <w:snapToGrid w:val="0"/>
          <w:color w:val="000000"/>
          <w:kern w:val="0"/>
          <w:sz w:val="21"/>
          <w:szCs w:val="21"/>
          <w:lang w:val="en-US" w:eastAsia="en-US" w:bidi="ar-SA"/>
        </w:rPr>
        <w:id w:val="147451503"/>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6E4E2A2F">
          <w:pPr>
            <w:jc w:val="center"/>
            <w:rPr>
              <w:rFonts w:hint="eastAsia" w:ascii="宋体" w:hAnsi="宋体" w:eastAsia="宋体" w:cs="宋体"/>
              <w:sz w:val="24"/>
              <w:szCs w:val="24"/>
            </w:rPr>
          </w:pPr>
          <w:r>
            <w:rPr>
              <w:rFonts w:hint="eastAsia" w:ascii="宋体" w:hAnsi="宋体" w:eastAsia="宋体" w:cs="宋体"/>
              <w:sz w:val="24"/>
              <w:szCs w:val="24"/>
            </w:rPr>
            <w:t>目录</w:t>
          </w:r>
        </w:p>
        <w:p w14:paraId="3B716639">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_Toc27426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CA1B087">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_Toc19220 </w:instrText>
          </w:r>
          <w:r>
            <w:rPr>
              <w:rFonts w:hint="eastAsia" w:ascii="宋体" w:hAnsi="宋体" w:eastAsia="宋体" w:cs="宋体"/>
              <w:sz w:val="24"/>
              <w:szCs w:val="24"/>
            </w:rPr>
            <w:fldChar w:fldCharType="separate"/>
          </w:r>
          <w:r>
            <w:rPr>
              <w:rFonts w:hint="eastAsia" w:ascii="宋体" w:hAnsi="宋体" w:eastAsia="宋体" w:cs="宋体"/>
              <w:sz w:val="24"/>
              <w:szCs w:val="24"/>
            </w:rPr>
            <w:t>运维服务目录管理规范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_Toc19220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12F3934">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_Toc17375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_Toc17375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BC74CF9">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_Toc19403 </w:instrText>
          </w:r>
          <w:r>
            <w:rPr>
              <w:rFonts w:hint="eastAsia" w:ascii="宋体" w:hAnsi="宋体" w:eastAsia="宋体" w:cs="宋体"/>
              <w:sz w:val="24"/>
              <w:szCs w:val="24"/>
            </w:rPr>
            <w:fldChar w:fldCharType="separate"/>
          </w:r>
          <w:r>
            <w:rPr>
              <w:rFonts w:hint="eastAsia" w:ascii="宋体" w:hAnsi="宋体" w:eastAsia="宋体" w:cs="宋体"/>
              <w:sz w:val="24"/>
              <w:szCs w:val="24"/>
            </w:rPr>
            <w:t>2. 适用范围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_Toc19403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BFBC1D2">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_Toc26769 </w:instrText>
          </w:r>
          <w:r>
            <w:rPr>
              <w:rFonts w:hint="eastAsia" w:ascii="宋体" w:hAnsi="宋体" w:eastAsia="宋体" w:cs="宋体"/>
              <w:sz w:val="24"/>
              <w:szCs w:val="24"/>
            </w:rPr>
            <w:fldChar w:fldCharType="separate"/>
          </w:r>
          <w:r>
            <w:rPr>
              <w:rFonts w:hint="eastAsia" w:ascii="宋体" w:hAnsi="宋体" w:eastAsia="宋体" w:cs="宋体"/>
              <w:sz w:val="24"/>
              <w:szCs w:val="24"/>
            </w:rPr>
            <w:t>3. 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_Toc26769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4E4A04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_Toc4684 </w:instrText>
          </w:r>
          <w:r>
            <w:rPr>
              <w:rFonts w:hint="eastAsia" w:ascii="宋体" w:hAnsi="宋体" w:eastAsia="宋体" w:cs="宋体"/>
              <w:sz w:val="24"/>
              <w:szCs w:val="24"/>
            </w:rPr>
            <w:fldChar w:fldCharType="separate"/>
          </w:r>
          <w:r>
            <w:rPr>
              <w:rFonts w:hint="eastAsia" w:ascii="宋体" w:hAnsi="宋体" w:eastAsia="宋体" w:cs="宋体"/>
              <w:sz w:val="24"/>
              <w:szCs w:val="24"/>
            </w:rPr>
            <w:t>3.1. 管理者代表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_Toc4684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745EEA">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 人力部门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_Toc31718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717B5E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_Toc5611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运维部门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_Toc5611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3A72E4">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_Toc25037 </w:instrText>
          </w:r>
          <w:r>
            <w:rPr>
              <w:rFonts w:hint="eastAsia" w:ascii="宋体" w:hAnsi="宋体" w:eastAsia="宋体" w:cs="宋体"/>
              <w:sz w:val="24"/>
              <w:szCs w:val="24"/>
            </w:rPr>
            <w:fldChar w:fldCharType="separate"/>
          </w:r>
          <w:r>
            <w:rPr>
              <w:rFonts w:hint="eastAsia" w:ascii="宋体" w:hAnsi="宋体" w:eastAsia="宋体" w:cs="宋体"/>
              <w:sz w:val="24"/>
              <w:szCs w:val="24"/>
            </w:rPr>
            <w:t>4. 具</w:t>
          </w:r>
          <w:bookmarkStart w:id="46" w:name="_GoBack"/>
          <w:bookmarkEnd w:id="46"/>
          <w:r>
            <w:rPr>
              <w:rFonts w:hint="eastAsia" w:ascii="宋体" w:hAnsi="宋体" w:eastAsia="宋体" w:cs="宋体"/>
              <w:sz w:val="24"/>
              <w:szCs w:val="24"/>
            </w:rPr>
            <w:t>体内容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28681E">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_Toc5379 </w:instrText>
          </w:r>
          <w:r>
            <w:rPr>
              <w:rFonts w:hint="eastAsia" w:ascii="宋体" w:hAnsi="宋体" w:eastAsia="宋体" w:cs="宋体"/>
              <w:sz w:val="24"/>
              <w:szCs w:val="24"/>
            </w:rPr>
            <w:fldChar w:fldCharType="separate"/>
          </w:r>
          <w:r>
            <w:rPr>
              <w:rFonts w:hint="eastAsia" w:ascii="宋体" w:hAnsi="宋体" w:eastAsia="宋体" w:cs="宋体"/>
              <w:sz w:val="24"/>
              <w:szCs w:val="24"/>
            </w:rPr>
            <w:t>4.1. 建立服务目录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_Toc5379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56596FB">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_Toc18624 </w:instrText>
          </w:r>
          <w:r>
            <w:rPr>
              <w:rFonts w:hint="eastAsia" w:ascii="宋体" w:hAnsi="宋体" w:eastAsia="宋体" w:cs="宋体"/>
              <w:sz w:val="24"/>
              <w:szCs w:val="24"/>
            </w:rPr>
            <w:fldChar w:fldCharType="separate"/>
          </w:r>
          <w:r>
            <w:rPr>
              <w:rFonts w:hint="eastAsia" w:ascii="宋体" w:hAnsi="宋体" w:eastAsia="宋体" w:cs="宋体"/>
              <w:sz w:val="24"/>
              <w:szCs w:val="24"/>
            </w:rPr>
            <w:t>4.2. 监控服务目录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_Toc18624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871803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_Toc20386 </w:instrText>
          </w:r>
          <w:r>
            <w:rPr>
              <w:rFonts w:hint="eastAsia" w:ascii="宋体" w:hAnsi="宋体" w:eastAsia="宋体" w:cs="宋体"/>
              <w:sz w:val="24"/>
              <w:szCs w:val="24"/>
            </w:rPr>
            <w:fldChar w:fldCharType="separate"/>
          </w:r>
          <w:r>
            <w:rPr>
              <w:rFonts w:hint="eastAsia" w:ascii="宋体" w:hAnsi="宋体" w:eastAsia="宋体" w:cs="宋体"/>
              <w:sz w:val="24"/>
              <w:szCs w:val="24"/>
            </w:rPr>
            <w:t>4.3. 定期评审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_Toc20386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C59F21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_Toc30238 </w:instrText>
          </w:r>
          <w:r>
            <w:rPr>
              <w:rFonts w:hint="eastAsia" w:ascii="宋体" w:hAnsi="宋体" w:eastAsia="宋体" w:cs="宋体"/>
              <w:sz w:val="24"/>
              <w:szCs w:val="24"/>
            </w:rPr>
            <w:fldChar w:fldCharType="separate"/>
          </w:r>
          <w:r>
            <w:rPr>
              <w:rFonts w:hint="eastAsia" w:ascii="宋体" w:hAnsi="宋体" w:eastAsia="宋体" w:cs="宋体"/>
              <w:sz w:val="24"/>
              <w:szCs w:val="24"/>
            </w:rPr>
            <w:t>4.4. 修订和验证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_Toc30238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1996A74">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_Toc11503 </w:instrText>
          </w:r>
          <w:r>
            <w:rPr>
              <w:rFonts w:hint="eastAsia" w:ascii="宋体" w:hAnsi="宋体" w:eastAsia="宋体" w:cs="宋体"/>
              <w:sz w:val="24"/>
              <w:szCs w:val="24"/>
            </w:rPr>
            <w:fldChar w:fldCharType="separate"/>
          </w:r>
          <w:r>
            <w:rPr>
              <w:rFonts w:hint="eastAsia" w:ascii="宋体" w:hAnsi="宋体" w:eastAsia="宋体" w:cs="宋体"/>
              <w:sz w:val="24"/>
              <w:szCs w:val="24"/>
            </w:rPr>
            <w:t>4.5. 服务目录的发布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_Toc11503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8C8C30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_Toc13977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4.6. </w:t>
          </w:r>
          <w:r>
            <w:rPr>
              <w:rFonts w:hint="eastAsia" w:ascii="宋体" w:hAnsi="宋体" w:eastAsia="宋体" w:cs="宋体"/>
              <w:spacing w:val="-2"/>
              <w:sz w:val="24"/>
              <w:szCs w:val="24"/>
            </w:rPr>
            <w:t>服务目录的使用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_Toc13977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BC1ACBC">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_Toc18550 </w:instrText>
          </w:r>
          <w:r>
            <w:rPr>
              <w:rFonts w:hint="eastAsia" w:ascii="宋体" w:hAnsi="宋体" w:eastAsia="宋体" w:cs="宋体"/>
              <w:sz w:val="24"/>
              <w:szCs w:val="24"/>
            </w:rPr>
            <w:fldChar w:fldCharType="separate"/>
          </w:r>
          <w:r>
            <w:rPr>
              <w:rFonts w:hint="eastAsia" w:ascii="宋体" w:hAnsi="宋体" w:eastAsia="宋体" w:cs="宋体"/>
              <w:sz w:val="24"/>
              <w:szCs w:val="24"/>
            </w:rPr>
            <w:t>5. 相关记录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_Toc18550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471091B">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_Toc6849 </w:instrText>
          </w:r>
          <w:r>
            <w:rPr>
              <w:rFonts w:hint="eastAsia" w:ascii="宋体" w:hAnsi="宋体" w:eastAsia="宋体" w:cs="宋体"/>
              <w:sz w:val="24"/>
              <w:szCs w:val="24"/>
            </w:rPr>
            <w:fldChar w:fldCharType="separate"/>
          </w:r>
          <w:r>
            <w:rPr>
              <w:rFonts w:hint="eastAsia" w:ascii="宋体" w:hAnsi="宋体" w:eastAsia="宋体" w:cs="宋体"/>
              <w:spacing w:val="-2"/>
              <w:sz w:val="24"/>
              <w:szCs w:val="24"/>
            </w:rPr>
            <w:t>《组织级运维服务目录》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_Toc6849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3978D8A">
          <w:pPr>
            <w:rPr>
              <w:rFonts w:ascii="Arial" w:hAnsi="Arial" w:eastAsia="Arial" w:cs="Arial"/>
              <w:snapToGrid w:val="0"/>
              <w:color w:val="000000"/>
              <w:kern w:val="0"/>
              <w:sz w:val="21"/>
              <w:szCs w:val="21"/>
              <w:lang w:val="en-US" w:eastAsia="en-US" w:bidi="ar-SA"/>
            </w:rPr>
          </w:pPr>
          <w:r>
            <w:rPr>
              <w:rFonts w:hint="eastAsia" w:ascii="宋体" w:hAnsi="宋体" w:eastAsia="宋体" w:cs="宋体"/>
              <w:sz w:val="24"/>
              <w:szCs w:val="24"/>
            </w:rPr>
            <w:fldChar w:fldCharType="end"/>
          </w:r>
        </w:p>
      </w:sdtContent>
    </w:sdt>
    <w:p w14:paraId="380AC24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194DACA">
      <w:pPr>
        <w:rPr>
          <w:rFonts w:ascii="Arial" w:hAnsi="Arial" w:eastAsia="Arial" w:cs="Arial"/>
          <w:snapToGrid w:val="0"/>
          <w:color w:val="000000"/>
          <w:kern w:val="0"/>
          <w:sz w:val="21"/>
          <w:szCs w:val="21"/>
          <w:lang w:val="en-US" w:eastAsia="en-US" w:bidi="ar-SA"/>
        </w:rPr>
      </w:pPr>
    </w:p>
    <w:p w14:paraId="3EAE7809">
      <w:pPr>
        <w:pStyle w:val="25"/>
        <w:bidi w:val="0"/>
      </w:pPr>
      <w:bookmarkStart w:id="2" w:name="_Toc17375"/>
      <w:r>
        <w:t>目的</w:t>
      </w:r>
      <w:bookmarkEnd w:id="2"/>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为此公司要建立准确、有效的服务目标，对服务目录进行优化和管理，保证服务目录的持续、有效。</w:t>
      </w:r>
    </w:p>
    <w:p w14:paraId="655B0544">
      <w:pPr>
        <w:pStyle w:val="25"/>
        <w:bidi w:val="0"/>
      </w:pPr>
      <w:bookmarkStart w:id="3" w:name="bookmark3"/>
      <w:bookmarkEnd w:id="3"/>
      <w:bookmarkStart w:id="4" w:name="bookmark4"/>
      <w:bookmarkEnd w:id="4"/>
      <w:bookmarkStart w:id="5" w:name="_Toc19403"/>
      <w:r>
        <w:t>适用范围</w:t>
      </w:r>
      <w:bookmarkEnd w:id="5"/>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6" w:name="bookmark7"/>
      <w:bookmarkEnd w:id="6"/>
      <w:bookmarkStart w:id="7" w:name="bookmark8"/>
      <w:bookmarkEnd w:id="7"/>
      <w:bookmarkStart w:id="8" w:name="bookmark5"/>
      <w:bookmarkEnd w:id="8"/>
      <w:bookmarkStart w:id="9" w:name="bookmark6"/>
      <w:bookmarkEnd w:id="9"/>
      <w:bookmarkStart w:id="10" w:name="_Toc26769"/>
      <w:r>
        <w:t>职责</w:t>
      </w:r>
      <w:bookmarkEnd w:id="10"/>
    </w:p>
    <w:p w14:paraId="7B7154AB">
      <w:pPr>
        <w:pStyle w:val="26"/>
        <w:bidi w:val="0"/>
      </w:pPr>
      <w:bookmarkStart w:id="11" w:name="bookmark29"/>
      <w:bookmarkEnd w:id="11"/>
      <w:bookmarkStart w:id="12" w:name="_Toc4684"/>
      <w:r>
        <w:t>管理者代表</w:t>
      </w:r>
      <w:bookmarkEnd w:id="12"/>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2FAAC220">
      <w:pPr>
        <w:pStyle w:val="26"/>
        <w:bidi w:val="0"/>
        <w:rPr>
          <w:rFonts w:hint="eastAsia"/>
          <w:lang w:val="en-US" w:eastAsia="zh-CN"/>
        </w:rPr>
      </w:pPr>
      <w:bookmarkStart w:id="13" w:name="bookmark9"/>
      <w:bookmarkEnd w:id="13"/>
      <w:bookmarkStart w:id="14" w:name="bookmark10"/>
      <w:bookmarkEnd w:id="14"/>
      <w:bookmarkStart w:id="15" w:name="_Toc31718"/>
      <w:r>
        <w:rPr>
          <w:rFonts w:hint="eastAsia"/>
          <w:lang w:val="en-US" w:eastAsia="zh-CN"/>
        </w:rPr>
        <w:t>人力部门</w:t>
      </w:r>
      <w:bookmarkEnd w:id="15"/>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30A07A49">
      <w:pPr>
        <w:pStyle w:val="26"/>
        <w:bidi w:val="0"/>
        <w:rPr>
          <w:rFonts w:hint="eastAsia"/>
          <w:lang w:val="en-US" w:eastAsia="zh-CN"/>
        </w:rPr>
      </w:pPr>
      <w:bookmarkStart w:id="16" w:name="bookmark11"/>
      <w:bookmarkEnd w:id="16"/>
      <w:bookmarkStart w:id="17" w:name="bookmark12"/>
      <w:bookmarkEnd w:id="17"/>
      <w:bookmarkStart w:id="18" w:name="_Toc5611"/>
      <w:r>
        <w:rPr>
          <w:rFonts w:hint="eastAsia"/>
          <w:lang w:val="en-US" w:eastAsia="zh-CN"/>
        </w:rPr>
        <w:t>运维部门</w:t>
      </w:r>
      <w:bookmarkEnd w:id="18"/>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9" w:name="bookmark16"/>
      <w:bookmarkEnd w:id="19"/>
      <w:bookmarkStart w:id="20" w:name="bookmark14"/>
      <w:bookmarkEnd w:id="20"/>
      <w:bookmarkStart w:id="21" w:name="bookmark13"/>
      <w:bookmarkEnd w:id="21"/>
      <w:bookmarkStart w:id="22" w:name="bookmark15"/>
      <w:bookmarkEnd w:id="22"/>
      <w:bookmarkStart w:id="23" w:name="_Toc25037"/>
      <w:r>
        <w:t>具体内容</w:t>
      </w:r>
      <w:bookmarkEnd w:id="23"/>
    </w:p>
    <w:p w14:paraId="4813C326">
      <w:pPr>
        <w:pStyle w:val="26"/>
        <w:bidi w:val="0"/>
      </w:pPr>
      <w:bookmarkStart w:id="24" w:name="bookmark30"/>
      <w:bookmarkEnd w:id="24"/>
      <w:r>
        <w:t xml:space="preserve"> </w:t>
      </w:r>
      <w:bookmarkStart w:id="25" w:name="_Toc5379"/>
      <w:r>
        <w:t>建立服务目录</w:t>
      </w:r>
      <w:bookmarkEnd w:id="25"/>
    </w:p>
    <w:p w14:paraId="0A58F3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服务目录是公司提供服务依据的基础性文件,服务目录分为组织级和项目级服务目录：</w:t>
      </w:r>
    </w:p>
    <w:p w14:paraId="17FEF40D">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numPr>
          <w:ilvl w:val="0"/>
          <w:numId w:val="3"/>
        </w:numPr>
        <w:spacing w:before="183" w:line="219" w:lineRule="auto"/>
        <w:ind w:left="425" w:leftChars="0" w:hanging="425" w:firstLineChars="0"/>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numPr>
          <w:ilvl w:val="0"/>
          <w:numId w:val="3"/>
        </w:numPr>
        <w:spacing w:before="183" w:line="219" w:lineRule="auto"/>
        <w:ind w:left="425" w:leftChars="0" w:hanging="425" w:firstLineChars="0"/>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numPr>
          <w:ilvl w:val="0"/>
          <w:numId w:val="3"/>
        </w:numPr>
        <w:spacing w:before="114" w:line="219" w:lineRule="auto"/>
        <w:ind w:left="425" w:leftChars="0" w:hanging="425" w:firstLineChars="0"/>
        <w:rPr>
          <w:rFonts w:ascii="宋体" w:hAnsi="宋体" w:eastAsia="宋体" w:cs="宋体"/>
          <w:sz w:val="24"/>
          <w:szCs w:val="24"/>
        </w:rPr>
      </w:pPr>
      <w:r>
        <w:rPr>
          <w:rFonts w:ascii="宋体" w:hAnsi="宋体" w:eastAsia="宋体" w:cs="宋体"/>
          <w:sz w:val="24"/>
          <w:szCs w:val="24"/>
        </w:rPr>
        <w:t>运维服务目标或标准（服务指标和质量标准）。</w:t>
      </w:r>
    </w:p>
    <w:p w14:paraId="5CD1BFB7">
      <w:pPr>
        <w:numPr>
          <w:ilvl w:val="0"/>
          <w:numId w:val="3"/>
        </w:numPr>
        <w:spacing w:before="182" w:line="21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运维服务提供时间。</w:t>
      </w:r>
    </w:p>
    <w:p w14:paraId="04DB4156">
      <w:pPr>
        <w:numPr>
          <w:ilvl w:val="0"/>
          <w:numId w:val="3"/>
        </w:numPr>
        <w:spacing w:before="184"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交付内容和交付周期。</w:t>
      </w:r>
    </w:p>
    <w:p w14:paraId="4D5F2A5C">
      <w:pPr>
        <w:pStyle w:val="26"/>
        <w:bidi w:val="0"/>
      </w:pPr>
      <w:bookmarkStart w:id="26" w:name="bookmark17"/>
      <w:bookmarkEnd w:id="26"/>
      <w:bookmarkStart w:id="27" w:name="bookmark18"/>
      <w:bookmarkEnd w:id="27"/>
      <w:bookmarkStart w:id="28" w:name="_Toc18624"/>
      <w:r>
        <w:t>监控服务目录</w:t>
      </w:r>
      <w:bookmarkEnd w:id="28"/>
    </w:p>
    <w:p w14:paraId="74147C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4D84A77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运维过程中</w:t>
      </w:r>
      <w:r>
        <w:rPr>
          <w:rFonts w:hint="eastAsia" w:ascii="宋体" w:hAnsi="宋体" w:eastAsia="宋体" w:cs="宋体"/>
          <w:spacing w:val="2"/>
          <w:sz w:val="24"/>
          <w:szCs w:val="24"/>
          <w:lang w:val="en-US" w:eastAsia="zh-CN"/>
        </w:rPr>
        <w:t>客户</w:t>
      </w:r>
      <w:r>
        <w:rPr>
          <w:rFonts w:ascii="宋体" w:hAnsi="宋体" w:eastAsia="宋体" w:cs="宋体"/>
          <w:spacing w:val="2"/>
          <w:sz w:val="24"/>
          <w:szCs w:val="24"/>
        </w:rPr>
        <w:t>提出的超过服务目录范围的需求；</w:t>
      </w:r>
    </w:p>
    <w:p w14:paraId="1704F9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市场服务需求的变化。</w:t>
      </w:r>
    </w:p>
    <w:p w14:paraId="73DD508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0038C6BD">
      <w:pPr>
        <w:pStyle w:val="26"/>
        <w:bidi w:val="0"/>
      </w:pPr>
      <w:bookmarkStart w:id="29" w:name="bookmark20"/>
      <w:bookmarkEnd w:id="29"/>
      <w:bookmarkStart w:id="30" w:name="bookmark19"/>
      <w:bookmarkEnd w:id="30"/>
      <w:bookmarkStart w:id="31" w:name="_Toc20386"/>
      <w:r>
        <w:t>定期评审</w:t>
      </w:r>
      <w:bookmarkEnd w:id="31"/>
    </w:p>
    <w:p w14:paraId="4AB17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运维部负责人每年年底组织一次对现有服务目录的评审，评审结果及后续改进意见应保留，对于评审中发现的服务目录</w:t>
      </w:r>
      <w:r>
        <w:rPr>
          <w:rFonts w:hint="eastAsia" w:ascii="宋体" w:hAnsi="宋体" w:eastAsia="宋体" w:cs="宋体"/>
          <w:sz w:val="24"/>
          <w:szCs w:val="24"/>
          <w:lang w:val="en-US" w:eastAsia="zh-CN"/>
        </w:rPr>
        <w:t>中</w:t>
      </w:r>
      <w:r>
        <w:rPr>
          <w:rFonts w:ascii="宋体" w:hAnsi="宋体" w:eastAsia="宋体" w:cs="宋体"/>
          <w:sz w:val="24"/>
          <w:szCs w:val="24"/>
        </w:rPr>
        <w:t>存在</w:t>
      </w:r>
      <w:r>
        <w:rPr>
          <w:rFonts w:hint="eastAsia" w:ascii="宋体" w:hAnsi="宋体" w:eastAsia="宋体" w:cs="宋体"/>
          <w:sz w:val="24"/>
          <w:szCs w:val="24"/>
          <w:lang w:val="en-US" w:eastAsia="zh-CN"/>
        </w:rPr>
        <w:t>的</w:t>
      </w:r>
      <w:r>
        <w:rPr>
          <w:rFonts w:ascii="宋体" w:hAnsi="宋体" w:eastAsia="宋体" w:cs="宋体"/>
          <w:sz w:val="24"/>
          <w:szCs w:val="24"/>
        </w:rPr>
        <w:t>问题，指定专人进行修订和改进。</w:t>
      </w:r>
    </w:p>
    <w:p w14:paraId="4AB0F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运维服务目录的评审应当对服务市场前景、公司3-5年业务发展规划、既往1-3年运维情况进行分析，并根据分析结果，确定是否对服务目录进行修订。</w:t>
      </w:r>
    </w:p>
    <w:p w14:paraId="7734FA4F">
      <w:pPr>
        <w:pStyle w:val="26"/>
        <w:bidi w:val="0"/>
      </w:pPr>
      <w:bookmarkStart w:id="32" w:name="bookmark21"/>
      <w:bookmarkEnd w:id="32"/>
      <w:bookmarkStart w:id="33" w:name="bookmark22"/>
      <w:bookmarkEnd w:id="33"/>
      <w:bookmarkStart w:id="34" w:name="_Toc30238"/>
      <w:r>
        <w:t>修订和验证</w:t>
      </w:r>
      <w:bookmarkEnd w:id="34"/>
    </w:p>
    <w:p w14:paraId="1CEFE7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如需对运维服务目录进行修订，则由运维部进行运维服务目录的修订工作。</w:t>
      </w:r>
    </w:p>
    <w:p w14:paraId="281D29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在运维服务过程中，若发现现有运维服务目录不适合时，运维部应对运维服务目录进行修订。</w:t>
      </w:r>
    </w:p>
    <w:p w14:paraId="6C65316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运维服务目录评审会议决定修订服务目录时，由运维部组织进行服务目录修订工作。</w:t>
      </w:r>
    </w:p>
    <w:p w14:paraId="4E1F17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由运行维护服务相关部门组织人员、过程、技术等相关资源进行验证，以确保修订内容能够满足市场和客户需求。</w:t>
      </w:r>
    </w:p>
    <w:p w14:paraId="08A9E6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修订后的运维服务目录，应遵循以下评审流程：由运维部负责组织，召开由公司管理者代表主持，</w:t>
      </w:r>
      <w:r>
        <w:rPr>
          <w:rFonts w:hint="eastAsia" w:ascii="宋体" w:hAnsi="宋体" w:eastAsia="宋体" w:cs="宋体"/>
          <w:sz w:val="24"/>
          <w:szCs w:val="24"/>
          <w:lang w:val="en-US" w:eastAsia="zh-CN"/>
        </w:rPr>
        <w:t>运维部</w:t>
      </w:r>
      <w:r>
        <w:rPr>
          <w:rFonts w:ascii="宋体" w:hAnsi="宋体" w:eastAsia="宋体" w:cs="宋体"/>
          <w:sz w:val="24"/>
          <w:szCs w:val="24"/>
        </w:rPr>
        <w:t>、</w:t>
      </w:r>
      <w:r>
        <w:rPr>
          <w:rFonts w:hint="eastAsia" w:ascii="宋体" w:hAnsi="宋体" w:eastAsia="宋体" w:cs="宋体"/>
          <w:sz w:val="24"/>
          <w:szCs w:val="24"/>
          <w:lang w:val="en-US" w:eastAsia="zh-CN"/>
        </w:rPr>
        <w:t>人力部</w:t>
      </w:r>
      <w:r>
        <w:rPr>
          <w:rFonts w:ascii="宋体" w:hAnsi="宋体" w:eastAsia="宋体" w:cs="宋体"/>
          <w:sz w:val="24"/>
          <w:szCs w:val="24"/>
        </w:rPr>
        <w:t>、</w:t>
      </w:r>
      <w:r>
        <w:rPr>
          <w:rFonts w:hint="eastAsia" w:ascii="宋体" w:hAnsi="宋体" w:eastAsia="宋体" w:cs="宋体"/>
          <w:sz w:val="24"/>
          <w:szCs w:val="24"/>
          <w:lang w:val="en-US" w:eastAsia="zh-CN"/>
        </w:rPr>
        <w:t>研发部、采购部、质量部</w:t>
      </w:r>
      <w:r>
        <w:rPr>
          <w:rFonts w:ascii="宋体" w:hAnsi="宋体" w:eastAsia="宋体" w:cs="宋体"/>
          <w:sz w:val="24"/>
          <w:szCs w:val="24"/>
        </w:rPr>
        <w:t>等相关部门负责人共同参与的评审会议。</w:t>
      </w:r>
    </w:p>
    <w:p w14:paraId="6A93F177">
      <w:pPr>
        <w:pStyle w:val="26"/>
        <w:bidi w:val="0"/>
      </w:pPr>
      <w:bookmarkStart w:id="35" w:name="bookmark23"/>
      <w:bookmarkEnd w:id="35"/>
      <w:bookmarkStart w:id="36" w:name="bookmark24"/>
      <w:bookmarkEnd w:id="36"/>
      <w:bookmarkStart w:id="37" w:name="_Toc11503"/>
      <w:r>
        <w:t>服务目录的发布</w:t>
      </w:r>
      <w:bookmarkEnd w:id="37"/>
    </w:p>
    <w:p w14:paraId="5FC7C7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运维服务目录修订内容验证符合预期目标和要求后，由运维部提交公司管理者代表审批后发布。</w:t>
      </w:r>
    </w:p>
    <w:p w14:paraId="5A80CA3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运维服务目录向客户部、运维服务相关部门、公司管理人员发布，并提交项</w:t>
      </w:r>
      <w:bookmarkStart w:id="38" w:name="bookmark26"/>
      <w:bookmarkEnd w:id="38"/>
      <w:bookmarkStart w:id="39" w:name="bookmark25"/>
      <w:bookmarkEnd w:id="39"/>
      <w:r>
        <w:rPr>
          <w:rFonts w:ascii="宋体" w:hAnsi="宋体" w:eastAsia="宋体" w:cs="宋体"/>
          <w:sz w:val="24"/>
          <w:szCs w:val="24"/>
        </w:rPr>
        <w:t>目部归档保存。</w:t>
      </w:r>
    </w:p>
    <w:p w14:paraId="2B99464C">
      <w:pPr>
        <w:pStyle w:val="26"/>
        <w:bidi w:val="0"/>
        <w:rPr>
          <w:rFonts w:ascii="宋体" w:hAnsi="宋体" w:eastAsia="宋体" w:cs="宋体"/>
          <w:sz w:val="24"/>
          <w:szCs w:val="24"/>
        </w:rPr>
      </w:pPr>
      <w:bookmarkStart w:id="40" w:name="bookmark33"/>
      <w:bookmarkEnd w:id="40"/>
      <w:r>
        <w:rPr>
          <w:rFonts w:ascii="宋体" w:hAnsi="宋体" w:eastAsia="宋体" w:cs="宋体"/>
          <w:spacing w:val="-50"/>
          <w:sz w:val="24"/>
          <w:szCs w:val="24"/>
        </w:rPr>
        <w:t xml:space="preserve"> </w:t>
      </w:r>
      <w:bookmarkStart w:id="41" w:name="_Toc13977"/>
      <w:r>
        <w:rPr>
          <w:rFonts w:ascii="宋体" w:hAnsi="宋体" w:eastAsia="宋体" w:cs="宋体"/>
          <w:spacing w:val="-2"/>
          <w:sz w:val="24"/>
          <w:szCs w:val="24"/>
        </w:rPr>
        <w:t>服务目录的使用</w:t>
      </w:r>
      <w:bookmarkEnd w:id="41"/>
    </w:p>
    <w:p w14:paraId="17946C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运维服务目录是客户部与客户的商务谈判和合同签订的依据。</w:t>
      </w:r>
    </w:p>
    <w:p w14:paraId="7F08F0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运维服务目录用于服务实施部门监督和执行服务执行过程中质量保障的参照依据。</w:t>
      </w:r>
    </w:p>
    <w:p w14:paraId="3294CC4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任何人员在使用运维服务目录过程中不得随意修改、曲解运维服务目录既定内容、要求、指标等全部内容。</w:t>
      </w:r>
    </w:p>
    <w:p w14:paraId="41A966E8">
      <w:pPr>
        <w:pStyle w:val="25"/>
        <w:bidi w:val="0"/>
      </w:pPr>
      <w:bookmarkStart w:id="42" w:name="bookmark27"/>
      <w:bookmarkEnd w:id="42"/>
      <w:bookmarkStart w:id="43" w:name="bookmark28"/>
      <w:bookmarkEnd w:id="43"/>
      <w:bookmarkStart w:id="44" w:name="_Toc18550"/>
      <w:r>
        <w:t>相关记录</w:t>
      </w:r>
      <w:bookmarkEnd w:id="44"/>
    </w:p>
    <w:p w14:paraId="67628DA9">
      <w:pPr>
        <w:spacing w:before="231" w:line="219" w:lineRule="auto"/>
        <w:ind w:left="591"/>
        <w:outlineLvl w:val="1"/>
      </w:pPr>
      <w:bookmarkStart w:id="45" w:name="_Toc6849"/>
      <w:r>
        <w:rPr>
          <w:rFonts w:ascii="宋体" w:hAnsi="宋体" w:eastAsia="宋体" w:cs="宋体"/>
          <w:spacing w:val="-2"/>
          <w:sz w:val="24"/>
          <w:szCs w:val="24"/>
        </w:rPr>
        <w:t>《组织级运维服务目录》</w:t>
      </w:r>
      <w:bookmarkEnd w:id="45"/>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D8648CE"/>
    <w:multiLevelType w:val="singleLevel"/>
    <w:tmpl w:val="AD8648CE"/>
    <w:lvl w:ilvl="0" w:tentative="0">
      <w:start w:val="1"/>
      <w:numFmt w:val="decimal"/>
      <w:lvlText w:val="%1)"/>
      <w:lvlJc w:val="left"/>
      <w:pPr>
        <w:ind w:left="425" w:hanging="425"/>
      </w:pPr>
      <w:rPr>
        <w:rFonts w:hint="default"/>
      </w:rPr>
    </w:lvl>
  </w:abstractNum>
  <w:abstractNum w:abstractNumId="2">
    <w:nsid w:val="3336D2E6"/>
    <w:multiLevelType w:val="singleLevel"/>
    <w:tmpl w:val="3336D2E6"/>
    <w:lvl w:ilvl="0" w:tentative="0">
      <w:start w:val="1"/>
      <w:numFmt w:val="decimal"/>
      <w:lvlText w:val="%1."/>
      <w:lvlJc w:val="left"/>
      <w:pPr>
        <w:ind w:left="425" w:hanging="425"/>
      </w:pPr>
      <w:rPr>
        <w:rFonts w:hint="default"/>
      </w:rPr>
    </w:lvl>
  </w:abstractNum>
  <w:abstractNum w:abstractNumId="3">
    <w:nsid w:val="3672D2BC"/>
    <w:multiLevelType w:val="singleLevel"/>
    <w:tmpl w:val="3672D2B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E8173D"/>
    <w:rsid w:val="05C8669A"/>
    <w:rsid w:val="070954E4"/>
    <w:rsid w:val="0B13248D"/>
    <w:rsid w:val="0B892750"/>
    <w:rsid w:val="0B930577"/>
    <w:rsid w:val="0D41564C"/>
    <w:rsid w:val="0D660F9A"/>
    <w:rsid w:val="0FB11EE2"/>
    <w:rsid w:val="119775A7"/>
    <w:rsid w:val="16C265E3"/>
    <w:rsid w:val="1A5A3D18"/>
    <w:rsid w:val="1B753E70"/>
    <w:rsid w:val="1B8D153C"/>
    <w:rsid w:val="1DF47EFC"/>
    <w:rsid w:val="1FFE5062"/>
    <w:rsid w:val="20383D9C"/>
    <w:rsid w:val="205963E8"/>
    <w:rsid w:val="2480073C"/>
    <w:rsid w:val="2BC0763F"/>
    <w:rsid w:val="2CD56C77"/>
    <w:rsid w:val="2D381E44"/>
    <w:rsid w:val="2F135073"/>
    <w:rsid w:val="30C27BDB"/>
    <w:rsid w:val="324D08CC"/>
    <w:rsid w:val="32F32A21"/>
    <w:rsid w:val="36770772"/>
    <w:rsid w:val="37BF1626"/>
    <w:rsid w:val="387B1840"/>
    <w:rsid w:val="3B6E533A"/>
    <w:rsid w:val="3C096E11"/>
    <w:rsid w:val="3E7C0C45"/>
    <w:rsid w:val="3F5A203E"/>
    <w:rsid w:val="3F9B06C8"/>
    <w:rsid w:val="42D10BFD"/>
    <w:rsid w:val="4642189D"/>
    <w:rsid w:val="471A69C9"/>
    <w:rsid w:val="4FC9093A"/>
    <w:rsid w:val="50CF01D2"/>
    <w:rsid w:val="511E4CB5"/>
    <w:rsid w:val="53057EDB"/>
    <w:rsid w:val="5859544B"/>
    <w:rsid w:val="593F3A1A"/>
    <w:rsid w:val="5B155AC1"/>
    <w:rsid w:val="5BC619FD"/>
    <w:rsid w:val="5C0303E8"/>
    <w:rsid w:val="5C717B35"/>
    <w:rsid w:val="5E133B7E"/>
    <w:rsid w:val="5E8425FB"/>
    <w:rsid w:val="6008706E"/>
    <w:rsid w:val="604D4F3F"/>
    <w:rsid w:val="618D7A19"/>
    <w:rsid w:val="62853344"/>
    <w:rsid w:val="63A4729C"/>
    <w:rsid w:val="67931B01"/>
    <w:rsid w:val="68A33FC6"/>
    <w:rsid w:val="68D91796"/>
    <w:rsid w:val="6B8974A3"/>
    <w:rsid w:val="6DC81DD9"/>
    <w:rsid w:val="6E606731"/>
    <w:rsid w:val="7851759A"/>
    <w:rsid w:val="7D1E37CD"/>
    <w:rsid w:val="7DD86C30"/>
    <w:rsid w:val="7E956D3F"/>
    <w:rsid w:val="7E993157"/>
    <w:rsid w:val="7F2C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1523</Words>
  <Characters>1615</Characters>
  <Lines>0</Lines>
  <Paragraphs>0</Paragraphs>
  <TotalTime>6</TotalTime>
  <ScaleCrop>false</ScaleCrop>
  <LinksUpToDate>false</LinksUpToDate>
  <CharactersWithSpaces>1648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2025-09-05T05:48:31Z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CDE73F44C53C4EBB8E1AD6244F5C19E4_11</vt:lpwstr>
  </property>
  <property fmtid="{D5CDD505-2E9C-101B-9397-08002B2CF9AE}" pid="4" name="KSOTemplateDocerSaveRecord">
    <vt:lpwstr>eyJoZGlkIjoiMDY5NmFjMmM4ZTljMGJiZDAxN2JmYTc0NGI0NmFiNDgiLCJ1c2VySWQiOiIxMDc1MzgyOSJ9</vt:lpwstr>
  </property>
</Properties>
</file>