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pStyle w:val="Heading3"/>
      </w:pPr>
      <w:bookmarkStart w:id="0" w:name="突发事件分类与响应层级表"/>
      <w:r>
        <w:rPr>
          <w:rFonts w:hint="eastAsia"/>
          <w:b/>
          <w:bCs/>
        </w:rPr>
        <w:t>突发事件分类与响应层级表</w:t>
      </w:r>
    </w:p>
    <w:tbl>
      <w:tblPr>
        <w:tblStyle w:val="Table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708"/>
        <w:gridCol w:w="739"/>
        <w:gridCol w:w="2139"/>
        <w:gridCol w:w="2568"/>
        <w:gridCol w:w="1329"/>
        <w:gridCol w:w="753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分类维度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类别名称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级别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描述/界定标准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典型示例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首要响应团队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目标响应时限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按影响范围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特别重大突发事件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I级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影响整个公司核心业务系统长时间中断（如超过4小时）；影响全部或绝大部分用户；对公司声誉或财务造成重大损失。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数据中心核心交换机宕机、大规模勒索病毒感染、主干网络中断。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应急领导小组、全体技术支持团队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立即响应，≤15分钟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重大突发事件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II级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影响公司某个重要业务部门或关键应用系统中断；影响大量用户（如单个部门无法工作）。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财务系统崩溃、OA系统无法访问、大楼局域网中</w:t>
            </w:r>
            <w:bookmarkStart w:id="1" w:name="_GoBack"/>
            <w:bookmarkEnd w:id="1"/>
            <w:r>
              <w:rPr>
                <w:rFonts w:ascii="宋体" w:eastAsia="宋体" w:hAnsi="宋体" w:cs="宋体" w:hint="eastAsia"/>
                <w:sz w:val="24"/>
                <w:szCs w:val="24"/>
              </w:rPr>
              <w:t>断。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运维部经理、研发部专家团队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≤30分钟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较大突发事件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III级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影响局部范围，如单个团队或部分用户；核心业务系统性能严重下降但未完全中断。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部门打印机集体故障、某个非关键应用服务器宕机。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运维项目经理、服务工程师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≤1小时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一般突发事件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IV级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影响单个或极少数用户，不影响其核心工作；或为常见的服务请求。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个人电脑蓝屏、软件安装请求、密码重置。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服务台（一线支持）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≤4小时（或按SLA）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按事件性质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网络安全事件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涉及系统漏洞、黑客攻击、数据泄露、恶意软件、网络入侵等。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DDoS攻击、网站被篡改、敏感数据外泄。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应急管理办公室、运维部安全岗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立即响应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硬件故障事件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服务器、网络设备、存储设备等关键硬件设施故障。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硬盘损坏、内存故障、电源模块失效。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运维部硬件团队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根据备件情况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软件故障事件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操作系统、数据库、中间件或业务应用软件发生的错误、崩溃或性能问题。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数据库连接池满、应用服务无响应、软件报兼容性错误。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研发部、运维部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≤2小时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服务中断事件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任何导致IT服务不可用或性能严重下降的事件，可能由上述任何性质的原因引起。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邮箱服务无法收发、视频会议系统卡顿。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运维部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根据影响级别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按预警来源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监控自动告警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由Zabbix、Prometheus等监控系统自动触发的阈值告警。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CPU使用率持续95%以上、磁盘空间不足。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运维部监控岗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实时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用户上报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通过服务台电话、邮件、工单系统等渠道由用户主动报告的事件。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用户拨打服务台电话申报故障。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服务台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按影响级别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外部通报</w:t>
            </w:r>
          </w:p>
        </w:tc>
        <w:tc>
          <w:tcPr>
            <w:tcW w:w="41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来自上级单位、监管机构或合作伙伴的漏洞预警、安全威胁通报。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上级单位下发网络安全风险预警。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应急管理办公室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立即响应</w:t>
            </w:r>
          </w:p>
        </w:tc>
      </w:tr>
    </w:tbl>
    <w:p>
      <w:r>
        <w:pict>
          <v:rect id="_x0000_i1025" style="height:1.5pt;width:0" coordsize="21600,21600" o:hralign="center" o:hrstd="t" o:hr="t">
            <w10:anchorlock/>
          </v:rect>
        </w:pict>
      </w:r>
      <w:bookmarkEnd w:id="0"/>
    </w:p>
    <w:sectPr>
      <w:pgMar w:header="720" w:footer="72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qFormat="1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 w:qFormat="1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/>
    <w:lsdException w:name="Body Text" w:semiHidden="0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qFormat="1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Pr>
      <w:rFonts w:eastAsiaTheme="majorEastAsia" w:cstheme="majorBidi"/>
      <w:spacing w:val="15"/>
      <w:sz w:val="28"/>
      <w:szCs w:val="28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qFormat/>
    <w:rPr>
      <w:color w:val="156082" w:themeColor="accent1"/>
    </w:rPr>
  </w:style>
  <w:style w:type="character" w:customStyle="1" w:styleId="BodyTextChar">
    <w:name w:val="Body Text Char"/>
    <w:basedOn w:val="DefaultParagraphFont"/>
    <w:link w:val="BodyText"/>
    <w:qFormat/>
  </w:style>
  <w:style w:type="character" w:styleId="FootnoteReference">
    <w:name w:val="footnote reference"/>
    <w:basedOn w:val="BodyTextChar"/>
    <w:qFormat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8585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8585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SectionNumber">
    <w:name w:val="Section Number"/>
    <w:basedOn w:val="BodyTextChar"/>
    <w:qFormat/>
  </w:style>
  <w:style w:type="paragraph" w:customStyle="1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qFormat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qFormat/>
    <w:rPr>
      <w:b/>
      <w:color w:val="00800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DocumentationTok">
    <w:name w:val="DocumentationTok"/>
    <w:basedOn w:val="VerbatimChar"/>
    <w:qFormat/>
    <w:rPr>
      <w:i/>
      <w:color w:val="BA2121"/>
    </w:rPr>
  </w:style>
  <w:style w:type="character" w:customStyle="1" w:styleId="AnnotationTok">
    <w:name w:val="AnnotationTok"/>
    <w:basedOn w:val="VerbatimChar"/>
    <w:qFormat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qFormat/>
    <w:rPr>
      <w:color w:val="007020"/>
    </w:rPr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VariableTok">
    <w:name w:val="VariableTok"/>
    <w:basedOn w:val="VerbatimChar"/>
    <w:qFormat/>
    <w:rPr>
      <w:color w:val="19177C"/>
    </w:rPr>
  </w:style>
  <w:style w:type="character" w:customStyle="1" w:styleId="ControlFlowTok">
    <w:name w:val="ControlFlowTok"/>
    <w:basedOn w:val="VerbatimChar"/>
    <w:qFormat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qFormat/>
  </w:style>
  <w:style w:type="character" w:customStyle="1" w:styleId="PreprocessorTok">
    <w:name w:val="PreprocessorTok"/>
    <w:basedOn w:val="VerbatimChar"/>
    <w:qFormat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qFormat/>
  </w:style>
  <w:style w:type="character" w:customStyle="1" w:styleId="InformationTok">
    <w:name w:val="InformationTok"/>
    <w:basedOn w:val="VerbatimChar"/>
    <w:qFormat/>
    <w:rPr>
      <w:b/>
      <w:i/>
      <w:color w:val="60A0B0"/>
    </w:rPr>
  </w:style>
  <w:style w:type="character" w:customStyle="1" w:styleId="WarningTok">
    <w:name w:val="WarningTok"/>
    <w:basedOn w:val="VerbatimChar"/>
    <w:qFormat/>
    <w:rPr>
      <w:b/>
      <w:i/>
      <w:color w:val="60A0B0"/>
    </w:rPr>
  </w:style>
  <w:style w:type="character" w:customStyle="1" w:styleId="AlertTok">
    <w:name w:val="AlertTok"/>
    <w:basedOn w:val="VerbatimChar"/>
    <w:qFormat/>
    <w:rPr>
      <w:b/>
      <w:color w:val="FF0000"/>
    </w:rPr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NormalTok">
    <w:name w:val="NormalTok"/>
    <w:basedOn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866</Words>
  <Characters>897</Characters>
  <Application>Microsoft Office Word</Application>
  <DocSecurity>0</DocSecurity>
  <Lines>12</Lines>
  <Paragraphs>8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0</cp:revision>
  <dcterms:created xsi:type="dcterms:W3CDTF">2025-09-07T15:48:00Z</dcterms:created>
  <dcterms:modified xsi:type="dcterms:W3CDTF">2025-09-07T16:25:52Z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45C5735E739C4B1DAE0CBA459D780B8D_12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