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BAF548">
      <w:pPr>
        <w:pStyle w:val="5"/>
      </w:pPr>
      <w:bookmarkStart w:id="0" w:name="突发事件分类与响应层级表"/>
      <w:r>
        <w:rPr>
          <w:rFonts w:hint="eastAsia"/>
          <w:b/>
          <w:bCs/>
        </w:rPr>
        <w:t>突发事件分类与响应层级表</w:t>
      </w:r>
    </w:p>
    <w:tbl>
      <w:tblPr>
        <w:tblStyle w:val="4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708"/>
        <w:gridCol w:w="739"/>
        <w:gridCol w:w="2139"/>
        <w:gridCol w:w="2568"/>
        <w:gridCol w:w="1329"/>
        <w:gridCol w:w="753"/>
      </w:tblGrid>
      <w:tr w14:paraId="53591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45B7EBC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分类维度</w:t>
            </w:r>
          </w:p>
        </w:tc>
        <w:tc>
          <w:p w14:paraId="0D0EA0EF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类别名称</w:t>
            </w:r>
          </w:p>
        </w:tc>
        <w:tc>
          <w:tcPr>
            <w:tcW w:w="417" w:type="pct"/>
          </w:tcPr>
          <w:p w14:paraId="63BD36DD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级别</w:t>
            </w:r>
          </w:p>
        </w:tc>
        <w:tc>
          <w:tcPr>
            <w:tcW w:w="1207" w:type="pct"/>
          </w:tcPr>
          <w:p w14:paraId="271316BE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描述/界定标准</w:t>
            </w:r>
          </w:p>
        </w:tc>
        <w:tc>
          <w:p w14:paraId="3310B5F1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典型示例</w:t>
            </w:r>
          </w:p>
        </w:tc>
        <w:tc>
          <w:p w14:paraId="24261236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首要响应团队</w:t>
            </w:r>
          </w:p>
        </w:tc>
        <w:tc>
          <w:p w14:paraId="7334B1A0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目标响应时限</w:t>
            </w:r>
          </w:p>
        </w:tc>
      </w:tr>
      <w:tr w14:paraId="4CE3B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DF74394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按影响范围</w:t>
            </w:r>
          </w:p>
        </w:tc>
        <w:tc>
          <w:p w14:paraId="74C8838E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特别重大突发事件</w:t>
            </w:r>
          </w:p>
        </w:tc>
        <w:tc>
          <w:tcPr>
            <w:tcW w:w="417" w:type="pct"/>
          </w:tcPr>
          <w:p w14:paraId="78FD39F3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I级</w:t>
            </w:r>
          </w:p>
        </w:tc>
        <w:tc>
          <w:tcPr>
            <w:tcW w:w="1207" w:type="pct"/>
          </w:tcPr>
          <w:p w14:paraId="0AC642E2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影响整个公司核心业务系统长时间中断（如超过4小时）；影响全部或绝大部分用户；对公司声誉或财务造成重大损失。</w:t>
            </w:r>
          </w:p>
        </w:tc>
        <w:tc>
          <w:p w14:paraId="6E21CDBD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数据中心核心交换机宕机、大规模勒索病毒感染、主干网络中断。</w:t>
            </w:r>
          </w:p>
        </w:tc>
        <w:tc>
          <w:p w14:paraId="72DA24D3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应急领导小组、全体技术支持团队</w:t>
            </w:r>
          </w:p>
        </w:tc>
        <w:tc>
          <w:p w14:paraId="653CF1F3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立即响应，≤15分钟</w:t>
            </w:r>
          </w:p>
        </w:tc>
      </w:tr>
      <w:tr w14:paraId="438C3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D9D8982">
            <w:pPr>
              <w:pStyle w:val="24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p w14:paraId="137DEC8B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重大突发事件</w:t>
            </w:r>
          </w:p>
        </w:tc>
        <w:tc>
          <w:tcPr>
            <w:tcW w:w="417" w:type="pct"/>
          </w:tcPr>
          <w:p w14:paraId="67E41EDA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II级</w:t>
            </w:r>
          </w:p>
        </w:tc>
        <w:tc>
          <w:tcPr>
            <w:tcW w:w="1207" w:type="pct"/>
          </w:tcPr>
          <w:p w14:paraId="6B8642CC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影响公司某个重要业务部门或关键应用系统中断；影响大量用户（如单个部门无法工作）。</w:t>
            </w:r>
          </w:p>
        </w:tc>
        <w:tc>
          <w:p w14:paraId="673CA1C8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财务系统崩溃、OA系统无法访问、大楼局域网中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sz w:val="24"/>
                <w:szCs w:val="24"/>
              </w:rPr>
              <w:t>断。</w:t>
            </w:r>
          </w:p>
        </w:tc>
        <w:tc>
          <w:p w14:paraId="4FCD470A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运维部经理、技术部专家团队</w:t>
            </w:r>
          </w:p>
        </w:tc>
        <w:tc>
          <w:p w14:paraId="58B9300D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≤30分钟</w:t>
            </w:r>
          </w:p>
        </w:tc>
      </w:tr>
      <w:tr w14:paraId="35B65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FD89E06">
            <w:pPr>
              <w:pStyle w:val="24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p w14:paraId="2E35CFAA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较大突发事件</w:t>
            </w:r>
          </w:p>
        </w:tc>
        <w:tc>
          <w:tcPr>
            <w:tcW w:w="417" w:type="pct"/>
          </w:tcPr>
          <w:p w14:paraId="31A50E28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III级</w:t>
            </w:r>
          </w:p>
        </w:tc>
        <w:tc>
          <w:tcPr>
            <w:tcW w:w="1207" w:type="pct"/>
          </w:tcPr>
          <w:p w14:paraId="71B508C4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影响局部范围，如单个团队或部分用户；核心业务系统性能严重下降但未完全中断。</w:t>
            </w:r>
          </w:p>
        </w:tc>
        <w:tc>
          <w:p w14:paraId="46DE04BA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部门打印机集体故障、某个非关键应用服务器宕机。</w:t>
            </w:r>
          </w:p>
        </w:tc>
        <w:tc>
          <w:p w14:paraId="29917C3B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运维项目经理、服务工程师</w:t>
            </w:r>
          </w:p>
        </w:tc>
        <w:tc>
          <w:p w14:paraId="786C9F1A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≤1小时</w:t>
            </w:r>
          </w:p>
        </w:tc>
      </w:tr>
      <w:tr w14:paraId="1321B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435D9DA">
            <w:pPr>
              <w:pStyle w:val="24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p w14:paraId="2576F7D5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一般突发事件</w:t>
            </w:r>
          </w:p>
        </w:tc>
        <w:tc>
          <w:tcPr>
            <w:tcW w:w="417" w:type="pct"/>
          </w:tcPr>
          <w:p w14:paraId="4B49C61D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IV级</w:t>
            </w:r>
          </w:p>
        </w:tc>
        <w:tc>
          <w:tcPr>
            <w:tcW w:w="1207" w:type="pct"/>
          </w:tcPr>
          <w:p w14:paraId="7D595AED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影响单个或极少数用户，不影响其核心工作；或为常见的服务请求。</w:t>
            </w:r>
          </w:p>
        </w:tc>
        <w:tc>
          <w:p w14:paraId="3E8FD7D0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个人电脑蓝屏、软件安装请求、密码重置。</w:t>
            </w:r>
          </w:p>
        </w:tc>
        <w:tc>
          <w:p w14:paraId="6AC79E07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服务台（一线支持）</w:t>
            </w:r>
          </w:p>
        </w:tc>
        <w:tc>
          <w:p w14:paraId="043865FD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≤4小时（或按SLA）</w:t>
            </w:r>
          </w:p>
        </w:tc>
      </w:tr>
      <w:tr w14:paraId="2E649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41ADC6D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按事件性质</w:t>
            </w:r>
          </w:p>
        </w:tc>
        <w:tc>
          <w:p w14:paraId="53A372CB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网络安全事件</w:t>
            </w:r>
          </w:p>
        </w:tc>
        <w:tc>
          <w:tcPr>
            <w:tcW w:w="417" w:type="pct"/>
          </w:tcPr>
          <w:p w14:paraId="5F03CFBA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 w14:paraId="1691C3E0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涉及系统漏洞、黑客攻击、数据泄露、恶意软件、网络入侵等。</w:t>
            </w:r>
          </w:p>
        </w:tc>
        <w:tc>
          <w:p w14:paraId="0225B825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DDoS攻击、网站被篡改、敏感数据外泄。</w:t>
            </w:r>
          </w:p>
        </w:tc>
        <w:tc>
          <w:p w14:paraId="5BCA87F4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应急管理办公室、运维部安全岗</w:t>
            </w:r>
          </w:p>
        </w:tc>
        <w:tc>
          <w:p w14:paraId="3D3ECD9D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立即响应</w:t>
            </w:r>
          </w:p>
        </w:tc>
      </w:tr>
      <w:tr w14:paraId="661CE7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48B17FC">
            <w:pPr>
              <w:pStyle w:val="24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p w14:paraId="0BFD3C87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硬件故障事件</w:t>
            </w:r>
          </w:p>
        </w:tc>
        <w:tc>
          <w:tcPr>
            <w:tcW w:w="417" w:type="pct"/>
          </w:tcPr>
          <w:p w14:paraId="41F8415E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 w14:paraId="10A51062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服务器、网络设备、存储设备等关键硬件设施故障。</w:t>
            </w:r>
          </w:p>
        </w:tc>
        <w:tc>
          <w:p w14:paraId="65B1FBDF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硬盘损坏、内存故障、电源模块失效。</w:t>
            </w:r>
          </w:p>
        </w:tc>
        <w:tc>
          <w:p w14:paraId="71E6C138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运维部硬件团队</w:t>
            </w:r>
          </w:p>
        </w:tc>
        <w:tc>
          <w:p w14:paraId="314E7D79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根据备件情况</w:t>
            </w:r>
          </w:p>
        </w:tc>
      </w:tr>
      <w:tr w14:paraId="4E648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E73EA73">
            <w:pPr>
              <w:pStyle w:val="24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p w14:paraId="50A96012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软件故障事件</w:t>
            </w:r>
          </w:p>
        </w:tc>
        <w:tc>
          <w:tcPr>
            <w:tcW w:w="417" w:type="pct"/>
          </w:tcPr>
          <w:p w14:paraId="3D474CD8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 w14:paraId="4AA38541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操作系统、数据库、中间件或业务应用软件发生的错误、崩溃或性能问题。</w:t>
            </w:r>
          </w:p>
        </w:tc>
        <w:tc>
          <w:p w14:paraId="129DF413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数据库连接池满、应用服务无响应、软件报兼容性错误。</w:t>
            </w:r>
          </w:p>
        </w:tc>
        <w:tc>
          <w:p w14:paraId="051FFDEF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研发部、运维部</w:t>
            </w:r>
          </w:p>
        </w:tc>
        <w:tc>
          <w:p w14:paraId="1AE4EE52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≤2小时</w:t>
            </w:r>
          </w:p>
        </w:tc>
      </w:tr>
      <w:tr w14:paraId="0C867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5AFEF7D">
            <w:pPr>
              <w:pStyle w:val="24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p w14:paraId="1E0DDBAF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服务中断事件</w:t>
            </w:r>
          </w:p>
        </w:tc>
        <w:tc>
          <w:tcPr>
            <w:tcW w:w="417" w:type="pct"/>
          </w:tcPr>
          <w:p w14:paraId="5393EC87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 w14:paraId="6B459387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任何导致IT服务不可用或性能严重下降的事件，可能由上述任何性质的原因引起。</w:t>
            </w:r>
          </w:p>
        </w:tc>
        <w:tc>
          <w:p w14:paraId="28FCBF5A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邮箱服务无法收发、视频会议系统卡顿。</w:t>
            </w:r>
          </w:p>
        </w:tc>
        <w:tc>
          <w:p w14:paraId="1FC05CA6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运维部</w:t>
            </w:r>
          </w:p>
        </w:tc>
        <w:tc>
          <w:p w14:paraId="3543D573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根据影响级别</w:t>
            </w:r>
          </w:p>
        </w:tc>
      </w:tr>
      <w:tr w14:paraId="08453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840D4B4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按预警来源</w:t>
            </w:r>
          </w:p>
        </w:tc>
        <w:tc>
          <w:p w14:paraId="59EB692E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监控自动告警</w:t>
            </w:r>
          </w:p>
        </w:tc>
        <w:tc>
          <w:tcPr>
            <w:tcW w:w="417" w:type="pct"/>
          </w:tcPr>
          <w:p w14:paraId="0627BAB4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 w14:paraId="5DCDDF86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由Zabbix、Prometheus等监控系统自动触发的阈值告警。</w:t>
            </w:r>
          </w:p>
        </w:tc>
        <w:tc>
          <w:p w14:paraId="3BA1C8B3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CPU使用率持续95%以上、磁盘空间不足。</w:t>
            </w:r>
          </w:p>
        </w:tc>
        <w:tc>
          <w:p w14:paraId="49554BCD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运维部监控岗</w:t>
            </w:r>
          </w:p>
        </w:tc>
        <w:tc>
          <w:p w14:paraId="5C31B543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实时</w:t>
            </w:r>
          </w:p>
        </w:tc>
      </w:tr>
      <w:tr w14:paraId="6B313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4CB7041">
            <w:pPr>
              <w:pStyle w:val="24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p w14:paraId="482B389F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用户上报</w:t>
            </w:r>
          </w:p>
        </w:tc>
        <w:tc>
          <w:tcPr>
            <w:tcW w:w="417" w:type="pct"/>
          </w:tcPr>
          <w:p w14:paraId="78F68A85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 w14:paraId="7481E127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通过服务台电话、邮件、工单系统等渠道由用户主动报告的事件。</w:t>
            </w:r>
          </w:p>
        </w:tc>
        <w:tc>
          <w:p w14:paraId="48741739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用户拨打服务台电话申报故障。</w:t>
            </w:r>
          </w:p>
        </w:tc>
        <w:tc>
          <w:p w14:paraId="7D0F375D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服务台</w:t>
            </w:r>
          </w:p>
        </w:tc>
        <w:tc>
          <w:p w14:paraId="6C19D9EA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按影响级别</w:t>
            </w:r>
          </w:p>
        </w:tc>
      </w:tr>
      <w:tr w14:paraId="561E9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759F4B2">
            <w:pPr>
              <w:pStyle w:val="24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p w14:paraId="5654C46D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外部通报</w:t>
            </w:r>
          </w:p>
        </w:tc>
        <w:tc>
          <w:tcPr>
            <w:tcW w:w="417" w:type="pct"/>
          </w:tcPr>
          <w:p w14:paraId="13DCB050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</w:p>
        </w:tc>
        <w:tc>
          <w:tcPr>
            <w:tcW w:w="1207" w:type="pct"/>
          </w:tcPr>
          <w:p w14:paraId="3D4A1B26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来自上级单位、监管机构或合作伙伴的漏洞预警、安全威胁通报。</w:t>
            </w:r>
          </w:p>
        </w:tc>
        <w:tc>
          <w:p w14:paraId="686FEB14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上级单位下发网络安全风险预警。</w:t>
            </w:r>
          </w:p>
        </w:tc>
        <w:tc>
          <w:p w14:paraId="01BEDEE8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应急管理办公室</w:t>
            </w:r>
          </w:p>
        </w:tc>
        <w:tc>
          <w:p w14:paraId="13D4B952">
            <w:pPr>
              <w:pStyle w:val="24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立即响应</w:t>
            </w:r>
          </w:p>
        </w:tc>
      </w:tr>
    </w:tbl>
    <w:p w14:paraId="02767276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Wind_std_hth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d_std_htht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2D380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866</Words>
  <Characters>897</Characters>
  <Lines>12</Lines>
  <Paragraphs>8</Paragraphs>
  <TotalTime>7</TotalTime>
  <ScaleCrop>false</ScaleCrop>
  <LinksUpToDate>false</LinksUpToDate>
  <CharactersWithSpaces>897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2025-09-07T15:48:00Z</dcterms:created>
  <dc:creator>郝宇</dc:creator>
  <cp:lastModifiedBy>郝宇</cp:lastModifiedBy>
  <dcterms:modified xsi:type="dcterms:W3CDTF">2025-09-07T16:25:52Z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eyJoZGlkIjoiMDY5NmFjMmM4ZTljMGJiZDAxN2JmYTc0NGI0NmFiNDgiLCJ1c2VySWQiOiIxMDc1MzgyOSJ9</vt:lpwstr>
  </property>
  <property fmtid="{D5CDD505-2E9C-101B-9397-08002B2CF9AE}" pid="3" name="KSOProductBuildVer">
    <vt:lpwstr>2052-12.1.0.21915</vt:lpwstr>
  </property>
  <property fmtid="{D5CDD505-2E9C-101B-9397-08002B2CF9AE}" pid="4" name="ICV">
    <vt:lpwstr>45C5735E739C4B1DAE0CBA459D780B8D_12</vt:lpwstr>
  </property>
</Properties>
</file>