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w:t>
      </w:r>
      <w:r>
        <w:rPr>
          <w:rFonts w:hint="eastAsia" w:ascii="宋体" w:hAnsi="宋体" w:eastAsia="宋体" w:cs="宋体"/>
          <w:b/>
          <w:bCs/>
          <w:spacing w:val="-3"/>
          <w:sz w:val="24"/>
          <w:szCs w:val="24"/>
          <w:lang w:val="en-US" w:eastAsia="zh-CN"/>
        </w:rPr>
        <w:t>10</w:t>
      </w:r>
      <w:r>
        <w:rPr>
          <w:rFonts w:ascii="宋体" w:hAnsi="宋体" w:eastAsia="宋体" w:cs="宋体"/>
          <w:b/>
          <w:bCs/>
          <w:spacing w:val="-3"/>
          <w:sz w:val="24"/>
          <w:szCs w:val="24"/>
        </w:rPr>
        <w:t>-0</w:t>
      </w:r>
      <w:r>
        <w:rPr>
          <w:rFonts w:hint="eastAsia" w:ascii="宋体" w:hAnsi="宋体" w:eastAsia="宋体" w:cs="宋体"/>
          <w:b/>
          <w:bCs/>
          <w:spacing w:val="-3"/>
          <w:sz w:val="24"/>
          <w:szCs w:val="24"/>
          <w:lang w:val="en-US" w:eastAsia="zh-CN"/>
        </w:rPr>
        <w:t>2-01</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4"/>
        <w:bidi w:val="0"/>
      </w:pPr>
      <w:bookmarkStart w:id="0" w:name="_Toc5738"/>
      <w:r>
        <w:rPr>
          <w:rFonts w:hint="eastAsia"/>
          <w:lang w:val="en-US" w:eastAsia="zh-CN"/>
        </w:rPr>
        <w:t>万洲奇智（青岛）信息科技有限</w:t>
      </w:r>
      <w:r>
        <w:t>公司</w:t>
      </w:r>
      <w:bookmarkEnd w:id="0"/>
    </w:p>
    <w:p w14:paraId="3D74D20A">
      <w:pPr>
        <w:pStyle w:val="25"/>
        <w:bidi w:val="0"/>
        <w:rPr>
          <w:rFonts w:hint="default"/>
          <w:lang w:val="en-US"/>
        </w:rPr>
      </w:pPr>
      <w:r>
        <w:rPr>
          <w:rFonts w:hint="eastAsia"/>
          <w:lang w:val="en-US" w:eastAsia="zh-CN"/>
        </w:rPr>
        <w:t>科捷智能青岛总部项目会议系统应急演练预案</w:t>
      </w:r>
      <w:bookmarkStart w:id="6" w:name="_GoBack"/>
      <w:bookmarkEnd w:id="6"/>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7"/>
            </w:pPr>
          </w:p>
        </w:tc>
        <w:tc>
          <w:tcPr>
            <w:tcW w:w="919" w:type="dxa"/>
            <w:vAlign w:val="top"/>
          </w:tcPr>
          <w:p w14:paraId="218F3AD4">
            <w:pPr>
              <w:pStyle w:val="27"/>
            </w:pPr>
          </w:p>
        </w:tc>
        <w:tc>
          <w:tcPr>
            <w:tcW w:w="2289" w:type="dxa"/>
            <w:vAlign w:val="top"/>
          </w:tcPr>
          <w:p w14:paraId="15EFA507">
            <w:pPr>
              <w:pStyle w:val="27"/>
            </w:pPr>
          </w:p>
        </w:tc>
        <w:tc>
          <w:tcPr>
            <w:tcW w:w="1148" w:type="dxa"/>
            <w:vAlign w:val="top"/>
          </w:tcPr>
          <w:p w14:paraId="70C086CB">
            <w:pPr>
              <w:spacing w:before="172" w:line="228" w:lineRule="auto"/>
              <w:ind w:left="313"/>
            </w:pPr>
          </w:p>
        </w:tc>
        <w:tc>
          <w:tcPr>
            <w:tcW w:w="1150" w:type="dxa"/>
            <w:vAlign w:val="top"/>
          </w:tcPr>
          <w:p w14:paraId="35AEC507">
            <w:pPr>
              <w:spacing w:before="172" w:line="228" w:lineRule="auto"/>
              <w:ind w:left="313"/>
            </w:pPr>
          </w:p>
        </w:tc>
        <w:tc>
          <w:tcPr>
            <w:tcW w:w="1240" w:type="dxa"/>
            <w:vAlign w:val="top"/>
          </w:tcPr>
          <w:p w14:paraId="6E8FD876">
            <w:pPr>
              <w:pStyle w:val="27"/>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7"/>
            </w:pPr>
          </w:p>
        </w:tc>
        <w:tc>
          <w:tcPr>
            <w:tcW w:w="919" w:type="dxa"/>
            <w:vAlign w:val="top"/>
          </w:tcPr>
          <w:p w14:paraId="09634355">
            <w:pPr>
              <w:pStyle w:val="27"/>
            </w:pPr>
          </w:p>
        </w:tc>
        <w:tc>
          <w:tcPr>
            <w:tcW w:w="2289" w:type="dxa"/>
            <w:vAlign w:val="top"/>
          </w:tcPr>
          <w:p w14:paraId="5EE6029F">
            <w:pPr>
              <w:pStyle w:val="27"/>
            </w:pPr>
          </w:p>
        </w:tc>
        <w:tc>
          <w:tcPr>
            <w:tcW w:w="1148" w:type="dxa"/>
            <w:vAlign w:val="top"/>
          </w:tcPr>
          <w:p w14:paraId="38EDD11A">
            <w:pPr>
              <w:spacing w:before="173" w:line="229" w:lineRule="auto"/>
              <w:ind w:left="314"/>
            </w:pPr>
          </w:p>
        </w:tc>
        <w:tc>
          <w:tcPr>
            <w:tcW w:w="1150" w:type="dxa"/>
            <w:vAlign w:val="top"/>
          </w:tcPr>
          <w:p w14:paraId="4B30AD5C">
            <w:pPr>
              <w:spacing w:before="173" w:line="229" w:lineRule="auto"/>
              <w:ind w:left="314"/>
            </w:pPr>
          </w:p>
        </w:tc>
        <w:tc>
          <w:tcPr>
            <w:tcW w:w="1240" w:type="dxa"/>
            <w:vAlign w:val="top"/>
          </w:tcPr>
          <w:p w14:paraId="6FBCF8FF">
            <w:pPr>
              <w:pStyle w:val="27"/>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7"/>
            </w:pPr>
          </w:p>
        </w:tc>
        <w:tc>
          <w:tcPr>
            <w:tcW w:w="919" w:type="dxa"/>
            <w:vAlign w:val="top"/>
          </w:tcPr>
          <w:p w14:paraId="1BBFCF07">
            <w:pPr>
              <w:pStyle w:val="27"/>
            </w:pPr>
          </w:p>
        </w:tc>
        <w:tc>
          <w:tcPr>
            <w:tcW w:w="2289" w:type="dxa"/>
            <w:vAlign w:val="top"/>
          </w:tcPr>
          <w:p w14:paraId="238EACEC">
            <w:pPr>
              <w:pStyle w:val="27"/>
            </w:pPr>
          </w:p>
        </w:tc>
        <w:tc>
          <w:tcPr>
            <w:tcW w:w="1148" w:type="dxa"/>
            <w:vAlign w:val="top"/>
          </w:tcPr>
          <w:p w14:paraId="75E51CC0">
            <w:pPr>
              <w:pStyle w:val="27"/>
            </w:pPr>
          </w:p>
        </w:tc>
        <w:tc>
          <w:tcPr>
            <w:tcW w:w="1150" w:type="dxa"/>
            <w:vAlign w:val="top"/>
          </w:tcPr>
          <w:p w14:paraId="06FF3C1B">
            <w:pPr>
              <w:pStyle w:val="27"/>
            </w:pPr>
          </w:p>
        </w:tc>
        <w:tc>
          <w:tcPr>
            <w:tcW w:w="1240" w:type="dxa"/>
            <w:vAlign w:val="top"/>
          </w:tcPr>
          <w:p w14:paraId="5C8B1A3D">
            <w:pPr>
              <w:pStyle w:val="27"/>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7"/>
            </w:pPr>
          </w:p>
        </w:tc>
        <w:tc>
          <w:tcPr>
            <w:tcW w:w="919" w:type="dxa"/>
            <w:vAlign w:val="top"/>
          </w:tcPr>
          <w:p w14:paraId="22DED3EC">
            <w:pPr>
              <w:pStyle w:val="27"/>
            </w:pPr>
          </w:p>
        </w:tc>
        <w:tc>
          <w:tcPr>
            <w:tcW w:w="2289" w:type="dxa"/>
            <w:vAlign w:val="top"/>
          </w:tcPr>
          <w:p w14:paraId="22279F68">
            <w:pPr>
              <w:pStyle w:val="27"/>
            </w:pPr>
          </w:p>
        </w:tc>
        <w:tc>
          <w:tcPr>
            <w:tcW w:w="1148" w:type="dxa"/>
            <w:vAlign w:val="top"/>
          </w:tcPr>
          <w:p w14:paraId="451706B1">
            <w:pPr>
              <w:pStyle w:val="27"/>
            </w:pPr>
          </w:p>
        </w:tc>
        <w:tc>
          <w:tcPr>
            <w:tcW w:w="1150" w:type="dxa"/>
            <w:vAlign w:val="top"/>
          </w:tcPr>
          <w:p w14:paraId="4C95703C">
            <w:pPr>
              <w:pStyle w:val="27"/>
            </w:pPr>
          </w:p>
        </w:tc>
        <w:tc>
          <w:tcPr>
            <w:tcW w:w="1240" w:type="dxa"/>
            <w:vAlign w:val="top"/>
          </w:tcPr>
          <w:p w14:paraId="60889A79">
            <w:pPr>
              <w:pStyle w:val="27"/>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7"/>
            </w:pPr>
          </w:p>
        </w:tc>
        <w:tc>
          <w:tcPr>
            <w:tcW w:w="919" w:type="dxa"/>
            <w:vAlign w:val="top"/>
          </w:tcPr>
          <w:p w14:paraId="68D2552E">
            <w:pPr>
              <w:pStyle w:val="27"/>
            </w:pPr>
          </w:p>
        </w:tc>
        <w:tc>
          <w:tcPr>
            <w:tcW w:w="2289" w:type="dxa"/>
            <w:vAlign w:val="top"/>
          </w:tcPr>
          <w:p w14:paraId="1E79A586">
            <w:pPr>
              <w:pStyle w:val="27"/>
            </w:pPr>
          </w:p>
        </w:tc>
        <w:tc>
          <w:tcPr>
            <w:tcW w:w="1148" w:type="dxa"/>
            <w:vAlign w:val="top"/>
          </w:tcPr>
          <w:p w14:paraId="17919EEC">
            <w:pPr>
              <w:pStyle w:val="27"/>
            </w:pPr>
          </w:p>
        </w:tc>
        <w:tc>
          <w:tcPr>
            <w:tcW w:w="1150" w:type="dxa"/>
            <w:vAlign w:val="top"/>
          </w:tcPr>
          <w:p w14:paraId="2BB87D59">
            <w:pPr>
              <w:pStyle w:val="27"/>
            </w:pPr>
          </w:p>
        </w:tc>
        <w:tc>
          <w:tcPr>
            <w:tcW w:w="1240" w:type="dxa"/>
            <w:vAlign w:val="top"/>
          </w:tcPr>
          <w:p w14:paraId="4CCAE5FE">
            <w:pPr>
              <w:pStyle w:val="27"/>
            </w:pPr>
          </w:p>
        </w:tc>
      </w:tr>
    </w:tbl>
    <w:p w14:paraId="757D1BA6">
      <w:r>
        <w:br w:type="page"/>
      </w:r>
    </w:p>
    <w:sdt>
      <w:sdtPr>
        <w:rPr>
          <w:rFonts w:ascii="宋体" w:hAnsi="宋体" w:eastAsia="宋体" w:cs="Arial"/>
          <w:snapToGrid w:val="0"/>
          <w:color w:val="000000"/>
          <w:kern w:val="0"/>
          <w:sz w:val="21"/>
          <w:szCs w:val="21"/>
          <w:lang w:val="en-US" w:eastAsia="en-US" w:bidi="ar-SA"/>
        </w:rPr>
        <w:id w:val="147468666"/>
        <w15:color w:val="DBDBDB"/>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464632CD">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4BF3A051">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_Toc5738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万洲奇智（青岛）信息科技有限</w:t>
          </w:r>
          <w:r>
            <w:rPr>
              <w:rFonts w:hint="eastAsia" w:ascii="宋体" w:hAnsi="宋体" w:eastAsia="宋体" w:cs="宋体"/>
              <w:sz w:val="24"/>
              <w:szCs w:val="24"/>
            </w:rPr>
            <w:t>公司</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_Toc5738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0032E183">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_Toc27593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人员工作交接管理制度</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_Toc27593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6C90079">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_Toc30213 </w:instrText>
          </w:r>
          <w:r>
            <w:rPr>
              <w:rFonts w:hint="eastAsia" w:ascii="宋体" w:hAnsi="宋体" w:eastAsia="宋体" w:cs="宋体"/>
              <w:sz w:val="24"/>
              <w:szCs w:val="24"/>
            </w:rPr>
            <w:fldChar w:fldCharType="separate"/>
          </w:r>
          <w:r>
            <w:rPr>
              <w:rFonts w:hint="eastAsia" w:ascii="宋体" w:hAnsi="宋体" w:eastAsia="宋体" w:cs="宋体"/>
              <w:sz w:val="24"/>
              <w:szCs w:val="24"/>
            </w:rPr>
            <w:t>1. 目的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_Toc30213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E0F7D95">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_Toc17591 </w:instrText>
          </w:r>
          <w:r>
            <w:rPr>
              <w:rFonts w:hint="eastAsia" w:ascii="宋体" w:hAnsi="宋体" w:eastAsia="宋体" w:cs="宋体"/>
              <w:sz w:val="24"/>
              <w:szCs w:val="24"/>
            </w:rPr>
            <w:fldChar w:fldCharType="separate"/>
          </w:r>
          <w:r>
            <w:rPr>
              <w:rFonts w:hint="eastAsia" w:ascii="宋体" w:hAnsi="宋体" w:eastAsia="宋体" w:cs="宋体"/>
              <w:sz w:val="24"/>
              <w:szCs w:val="24"/>
            </w:rPr>
            <w:t>2. 范围：</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_Toc17591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F78F683">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_Toc11037 </w:instrText>
          </w:r>
          <w:r>
            <w:rPr>
              <w:rFonts w:hint="eastAsia" w:ascii="宋体" w:hAnsi="宋体" w:eastAsia="宋体" w:cs="宋体"/>
              <w:sz w:val="24"/>
              <w:szCs w:val="24"/>
            </w:rPr>
            <w:fldChar w:fldCharType="separate"/>
          </w:r>
          <w:r>
            <w:rPr>
              <w:rFonts w:hint="eastAsia" w:ascii="宋体" w:hAnsi="宋体" w:eastAsia="宋体" w:cs="宋体"/>
              <w:sz w:val="24"/>
              <w:szCs w:val="24"/>
            </w:rPr>
            <w:t>3. 离职类别与定义：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_Toc11037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0E741AD">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_Toc28776 </w:instrText>
          </w:r>
          <w:r>
            <w:rPr>
              <w:rFonts w:hint="eastAsia" w:ascii="宋体" w:hAnsi="宋体" w:eastAsia="宋体" w:cs="宋体"/>
              <w:sz w:val="24"/>
              <w:szCs w:val="24"/>
            </w:rPr>
            <w:fldChar w:fldCharType="separate"/>
          </w:r>
          <w:r>
            <w:rPr>
              <w:rFonts w:hint="eastAsia" w:ascii="宋体" w:hAnsi="宋体" w:eastAsia="宋体" w:cs="宋体"/>
              <w:sz w:val="24"/>
              <w:szCs w:val="24"/>
            </w:rPr>
            <w:t>4. 离职办理程序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_Toc28776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5CCCC6C">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_Toc10045 </w:instrText>
          </w:r>
          <w:r>
            <w:rPr>
              <w:rFonts w:hint="eastAsia" w:ascii="宋体" w:hAnsi="宋体" w:eastAsia="宋体" w:cs="宋体"/>
              <w:sz w:val="24"/>
              <w:szCs w:val="24"/>
            </w:rPr>
            <w:fldChar w:fldCharType="separate"/>
          </w:r>
          <w:r>
            <w:rPr>
              <w:rFonts w:hint="eastAsia" w:ascii="宋体" w:hAnsi="宋体" w:eastAsia="宋体" w:cs="宋体"/>
              <w:sz w:val="24"/>
              <w:szCs w:val="24"/>
            </w:rPr>
            <w:t>4.1. 辞职程序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_Toc10045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20E49CA">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_Toc24078 </w:instrText>
          </w:r>
          <w:r>
            <w:rPr>
              <w:rFonts w:hint="eastAsia" w:ascii="宋体" w:hAnsi="宋体" w:eastAsia="宋体" w:cs="宋体"/>
              <w:sz w:val="24"/>
              <w:szCs w:val="24"/>
            </w:rPr>
            <w:fldChar w:fldCharType="separate"/>
          </w:r>
          <w:r>
            <w:rPr>
              <w:rFonts w:hint="eastAsia" w:ascii="宋体" w:hAnsi="宋体" w:eastAsia="宋体" w:cs="宋体"/>
              <w:sz w:val="24"/>
              <w:szCs w:val="24"/>
            </w:rPr>
            <w:t>4.2. 辞退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_Toc24078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FD347E3">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_Toc6490 </w:instrText>
          </w:r>
          <w:r>
            <w:rPr>
              <w:rFonts w:hint="eastAsia" w:ascii="宋体" w:hAnsi="宋体" w:eastAsia="宋体" w:cs="宋体"/>
              <w:sz w:val="24"/>
              <w:szCs w:val="24"/>
            </w:rPr>
            <w:fldChar w:fldCharType="separate"/>
          </w:r>
          <w:r>
            <w:rPr>
              <w:rFonts w:hint="eastAsia" w:ascii="宋体" w:hAnsi="宋体" w:eastAsia="宋体" w:cs="宋体"/>
              <w:sz w:val="24"/>
              <w:szCs w:val="24"/>
            </w:rPr>
            <w:t>4.3. 协商解除劳动关系程序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_Toc6490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46517C3">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_Toc13099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4.4. 自动离职</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_Toc13099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E0A7396">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_Toc455 </w:instrText>
          </w:r>
          <w:r>
            <w:rPr>
              <w:rFonts w:hint="eastAsia" w:ascii="宋体" w:hAnsi="宋体" w:eastAsia="宋体" w:cs="宋体"/>
              <w:sz w:val="24"/>
              <w:szCs w:val="24"/>
            </w:rPr>
            <w:fldChar w:fldCharType="separate"/>
          </w:r>
          <w:r>
            <w:rPr>
              <w:rFonts w:hint="eastAsia" w:ascii="宋体" w:hAnsi="宋体" w:eastAsia="宋体" w:cs="宋体"/>
              <w:sz w:val="24"/>
              <w:szCs w:val="24"/>
            </w:rPr>
            <w:t>5. 工作交接流程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_Toc455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179D51D">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_Toc1081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1. </w:t>
          </w:r>
          <w:r>
            <w:rPr>
              <w:rFonts w:hint="eastAsia" w:ascii="宋体" w:hAnsi="宋体" w:eastAsia="宋体" w:cs="宋体"/>
              <w:spacing w:val="-5"/>
              <w:sz w:val="24"/>
              <w:szCs w:val="24"/>
            </w:rPr>
            <w:t>工作交接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_Toc1081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6D755ED2">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_Toc10944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2. </w:t>
          </w:r>
          <w:r>
            <w:rPr>
              <w:rFonts w:hint="eastAsia" w:ascii="宋体" w:hAnsi="宋体" w:eastAsia="宋体" w:cs="宋体"/>
              <w:spacing w:val="-2"/>
              <w:sz w:val="24"/>
              <w:szCs w:val="24"/>
            </w:rPr>
            <w:t>关部门签字确认</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_Toc10944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865C62F">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_Toc901 </w:instrText>
          </w:r>
          <w:r>
            <w:rPr>
              <w:rFonts w:hint="eastAsia" w:ascii="宋体" w:hAnsi="宋体" w:eastAsia="宋体" w:cs="宋体"/>
              <w:sz w:val="24"/>
              <w:szCs w:val="24"/>
            </w:rPr>
            <w:fldChar w:fldCharType="separate"/>
          </w:r>
          <w:r>
            <w:rPr>
              <w:rFonts w:hint="eastAsia" w:ascii="宋体" w:hAnsi="宋体" w:eastAsia="宋体" w:cs="宋体"/>
              <w:sz w:val="24"/>
              <w:szCs w:val="24"/>
            </w:rPr>
            <w:t>6. 其他事项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_Toc901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587950E">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 w:val="24"/>
              <w:szCs w:val="24"/>
            </w:rPr>
            <w:fldChar w:fldCharType="end"/>
          </w:r>
        </w:p>
      </w:sdtContent>
    </w:sdt>
    <w:p w14:paraId="75DCC050">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191B6498">
      <w:pPr>
        <w:pStyle w:val="28"/>
        <w:bidi w:val="0"/>
      </w:pPr>
      <w:bookmarkStart w:id="1" w:name="_Toc30213"/>
      <w:r>
        <w:t>目的</w:t>
      </w:r>
      <w:bookmarkEnd w:id="1"/>
    </w:p>
    <w:p w14:paraId="3C0C7CD3">
      <w:pPr>
        <w:pStyle w:val="29"/>
        <w:bidi w:val="0"/>
      </w:pPr>
      <w:r>
        <w:t>为有效预防、及时控制和妥善处置科捷智能青岛总部各类会议系统可能出现的突发故障，建立职责明确、指挥顺畅、反应迅速、处理果断的应急响应机制，最大限度地保障公司日常会议、远程协作及重要商务活动的连续性与稳定性，降低突发事件对业务运营的影响，特制定本应急预案。</w:t>
      </w:r>
    </w:p>
    <w:p w14:paraId="2D240536">
      <w:pPr>
        <w:pStyle w:val="28"/>
        <w:bidi w:val="0"/>
        <w:rPr>
          <w:rFonts w:hint="eastAsia"/>
          <w:lang w:val="en-US" w:eastAsia="zh-CN"/>
        </w:rPr>
      </w:pPr>
      <w:r>
        <w:rPr>
          <w:rFonts w:hint="eastAsia"/>
          <w:lang w:val="en-US" w:eastAsia="zh-CN"/>
        </w:rPr>
        <w:t>原则</w:t>
      </w:r>
    </w:p>
    <w:p w14:paraId="702ECD5D">
      <w:pPr>
        <w:pStyle w:val="29"/>
        <w:numPr>
          <w:ilvl w:val="0"/>
          <w:numId w:val="2"/>
        </w:numPr>
        <w:bidi w:val="0"/>
        <w:ind w:left="425" w:leftChars="0" w:hanging="425" w:firstLineChars="0"/>
      </w:pPr>
      <w:r>
        <w:t>统一领导，分级负责：</w:t>
      </w:r>
    </w:p>
    <w:p w14:paraId="0BB4EF17">
      <w:pPr>
        <w:pStyle w:val="29"/>
        <w:bidi w:val="0"/>
      </w:pPr>
      <w:r>
        <w:t>在公司应急领导小组领导下，运维部牵头负责，人力部等部门协同配合。</w:t>
      </w:r>
    </w:p>
    <w:p w14:paraId="5527F9E3">
      <w:pPr>
        <w:pStyle w:val="29"/>
        <w:numPr>
          <w:ilvl w:val="0"/>
          <w:numId w:val="2"/>
        </w:numPr>
        <w:bidi w:val="0"/>
        <w:ind w:left="425" w:leftChars="0" w:hanging="425" w:firstLineChars="0"/>
      </w:pPr>
      <w:r>
        <w:t>预防为主，平战结合：</w:t>
      </w:r>
    </w:p>
    <w:p w14:paraId="13EA7728">
      <w:pPr>
        <w:pStyle w:val="29"/>
        <w:bidi w:val="0"/>
      </w:pPr>
      <w:r>
        <w:t>加强日常巡检和维护，将应急管理工作落实于日常预防之中。</w:t>
      </w:r>
    </w:p>
    <w:p w14:paraId="7286F026">
      <w:pPr>
        <w:pStyle w:val="29"/>
        <w:numPr>
          <w:ilvl w:val="0"/>
          <w:numId w:val="2"/>
        </w:numPr>
        <w:bidi w:val="0"/>
        <w:ind w:left="425" w:leftChars="0" w:hanging="425" w:firstLineChars="0"/>
      </w:pPr>
      <w:r>
        <w:t>快速响应，科学处置：</w:t>
      </w:r>
    </w:p>
    <w:p w14:paraId="4DDC37F5">
      <w:pPr>
        <w:pStyle w:val="29"/>
        <w:bidi w:val="0"/>
      </w:pPr>
      <w:r>
        <w:t>确保故障发现、报告、指挥、处置等环节紧密衔接，高效运作。</w:t>
      </w:r>
    </w:p>
    <w:p w14:paraId="12AD5D47">
      <w:pPr>
        <w:pStyle w:val="29"/>
        <w:numPr>
          <w:ilvl w:val="0"/>
          <w:numId w:val="2"/>
        </w:numPr>
        <w:bidi w:val="0"/>
        <w:ind w:left="425" w:leftChars="0" w:hanging="425" w:firstLineChars="0"/>
      </w:pPr>
      <w:r>
        <w:t>优先保障，降低影响：</w:t>
      </w:r>
    </w:p>
    <w:p w14:paraId="03803B61">
      <w:pPr>
        <w:pStyle w:val="29"/>
        <w:bidi w:val="0"/>
      </w:pPr>
      <w:r>
        <w:t>优先保障公司级重要会议，采取一切必要措施快速恢复或启用备用方案。</w:t>
      </w:r>
    </w:p>
    <w:p w14:paraId="651727DA">
      <w:pPr>
        <w:pStyle w:val="29"/>
        <w:rPr>
          <w:rFonts w:hint="eastAsia"/>
          <w:lang w:val="en-US" w:eastAsia="zh-CN"/>
        </w:rPr>
      </w:pPr>
    </w:p>
    <w:p w14:paraId="6BD52D84">
      <w:pPr>
        <w:pStyle w:val="28"/>
        <w:bidi w:val="0"/>
      </w:pPr>
      <w:bookmarkStart w:id="2" w:name="_Toc17591"/>
      <w:r>
        <w:rPr>
          <w:rFonts w:hint="eastAsia"/>
          <w:lang w:val="en-US" w:eastAsia="zh-CN"/>
        </w:rPr>
        <w:t>适用</w:t>
      </w:r>
      <w:r>
        <w:t>范围</w:t>
      </w:r>
      <w:bookmarkEnd w:id="2"/>
    </w:p>
    <w:p w14:paraId="26210C1E">
      <w:pPr>
        <w:pStyle w:val="29"/>
        <w:bidi w:val="0"/>
      </w:pPr>
      <w:r>
        <w:t>本预案适用于科捷智能青岛总部</w:t>
      </w:r>
      <w:r>
        <w:rPr>
          <w:rFonts w:hint="eastAsia"/>
          <w:lang w:val="en-US" w:eastAsia="zh-CN"/>
        </w:rPr>
        <w:t>项目</w:t>
      </w:r>
      <w:r>
        <w:t>会议系统，主要包括：</w:t>
      </w:r>
    </w:p>
    <w:p w14:paraId="504450FB">
      <w:pPr>
        <w:pStyle w:val="29"/>
        <w:numPr>
          <w:ilvl w:val="0"/>
          <w:numId w:val="3"/>
        </w:numPr>
        <w:bidi w:val="0"/>
        <w:ind w:left="425" w:leftChars="0" w:hanging="425" w:firstLineChars="0"/>
      </w:pPr>
      <w:r>
        <w:t>会议显示设备（如MAXHUB、华为会议平板、电视机等）</w:t>
      </w:r>
    </w:p>
    <w:p w14:paraId="7B173AF1">
      <w:pPr>
        <w:pStyle w:val="29"/>
        <w:numPr>
          <w:ilvl w:val="0"/>
          <w:numId w:val="3"/>
        </w:numPr>
        <w:bidi w:val="0"/>
        <w:ind w:left="425" w:leftChars="0" w:hanging="425" w:firstLineChars="0"/>
      </w:pPr>
      <w:r>
        <w:t>音频设备（如麦克风、音箱、调音台）</w:t>
      </w:r>
    </w:p>
    <w:p w14:paraId="00FA2E5A">
      <w:pPr>
        <w:pStyle w:val="29"/>
        <w:numPr>
          <w:ilvl w:val="0"/>
          <w:numId w:val="3"/>
        </w:numPr>
        <w:bidi w:val="0"/>
        <w:ind w:left="425" w:leftChars="0" w:hanging="425" w:firstLineChars="0"/>
      </w:pPr>
      <w:r>
        <w:t>视频会议系统（如Zoom、腾讯会议、钉钉等软件及硬件终端）网络连接及保障系统</w:t>
      </w:r>
    </w:p>
    <w:p w14:paraId="72F6781A">
      <w:pPr>
        <w:pStyle w:val="28"/>
        <w:bidi w:val="0"/>
        <w:rPr>
          <w:rFonts w:hint="eastAsia"/>
          <w:lang w:val="en-US" w:eastAsia="zh-CN"/>
        </w:rPr>
      </w:pPr>
      <w:r>
        <w:rPr>
          <w:rFonts w:hint="eastAsia"/>
          <w:lang w:val="en-US" w:eastAsia="zh-CN"/>
        </w:rPr>
        <w:t>岗位职责</w:t>
      </w:r>
    </w:p>
    <w:p w14:paraId="688972DB">
      <w:pPr>
        <w:pStyle w:val="30"/>
        <w:bidi w:val="0"/>
        <w:rPr>
          <w:rFonts w:hint="default"/>
          <w:lang w:val="en-US" w:eastAsia="zh-CN"/>
        </w:rPr>
      </w:pPr>
      <w:r>
        <w:t>应急</w:t>
      </w:r>
      <w:r>
        <w:rPr>
          <w:rFonts w:hint="eastAsia"/>
          <w:lang w:val="en-US" w:eastAsia="zh-CN"/>
        </w:rPr>
        <w:t>管理办公室</w:t>
      </w:r>
    </w:p>
    <w:p w14:paraId="252AA9BC">
      <w:pPr>
        <w:pStyle w:val="39"/>
        <w:bidi w:val="0"/>
      </w:pPr>
      <w:r>
        <w:t>负责启动和终止应急响应；提供决策支持和资源协调；指挥重大故障的应急处置。</w:t>
      </w:r>
    </w:p>
    <w:p w14:paraId="2D58381D">
      <w:pPr>
        <w:pStyle w:val="30"/>
        <w:bidi w:val="0"/>
        <w:rPr>
          <w:rFonts w:hint="eastAsia"/>
          <w:lang w:eastAsia="zh-CN"/>
        </w:rPr>
      </w:pPr>
      <w:r>
        <w:rPr>
          <w:rFonts w:hint="eastAsia"/>
          <w:lang w:val="en-US" w:eastAsia="zh-CN"/>
        </w:rPr>
        <w:t>运维部</w:t>
      </w:r>
    </w:p>
    <w:p w14:paraId="15D714FD">
      <w:pPr>
        <w:pStyle w:val="39"/>
        <w:bidi w:val="0"/>
      </w:pPr>
      <w:r>
        <w:t>负责故障的实时监控、接收报修、快速诊断、执行技术处置方案（包括启用备用设备）、恢复系统运行，并向指挥组汇报进展。</w:t>
      </w:r>
    </w:p>
    <w:p w14:paraId="3D5FD7C6">
      <w:pPr>
        <w:pStyle w:val="30"/>
        <w:bidi w:val="0"/>
        <w:rPr>
          <w:rFonts w:hint="eastAsia"/>
          <w:lang w:val="en-US" w:eastAsia="zh-CN"/>
        </w:rPr>
      </w:pPr>
      <w:r>
        <w:rPr>
          <w:rFonts w:hint="eastAsia"/>
          <w:lang w:val="en-US" w:eastAsia="zh-CN"/>
        </w:rPr>
        <w:t>人力部</w:t>
      </w:r>
    </w:p>
    <w:p w14:paraId="5222B546">
      <w:pPr>
        <w:pStyle w:val="39"/>
        <w:bidi w:val="0"/>
      </w:pPr>
      <w:r>
        <w:t>负责与会议发起人、参会人员的沟通、解释和安抚工作；根据IT组要求调度会议室资源；协助做好后勤保障工作。</w:t>
      </w:r>
    </w:p>
    <w:p w14:paraId="6917E3EA">
      <w:pPr>
        <w:pStyle w:val="29"/>
        <w:rPr>
          <w:rFonts w:hint="eastAsia"/>
          <w:lang w:val="en-US" w:eastAsia="zh-CN"/>
        </w:rPr>
      </w:pPr>
    </w:p>
    <w:p w14:paraId="7E6E312E">
      <w:pPr>
        <w:pStyle w:val="28"/>
        <w:bidi w:val="0"/>
        <w:rPr>
          <w:rFonts w:hint="default"/>
          <w:lang w:val="en-US" w:eastAsia="zh-CN"/>
        </w:rPr>
      </w:pPr>
      <w:r>
        <w:rPr>
          <w:rFonts w:hint="eastAsia"/>
          <w:lang w:val="en-US" w:eastAsia="zh-CN"/>
        </w:rPr>
        <w:t>工作交接实施</w:t>
      </w:r>
    </w:p>
    <w:p w14:paraId="6BAF7092">
      <w:pPr>
        <w:pStyle w:val="30"/>
        <w:bidi w:val="0"/>
      </w:pPr>
      <w:r>
        <w:t>事件分级</w:t>
      </w:r>
    </w:p>
    <w:p w14:paraId="5C338382">
      <w:pPr>
        <w:pStyle w:val="39"/>
        <w:numPr>
          <w:ilvl w:val="0"/>
          <w:numId w:val="4"/>
        </w:numPr>
        <w:bidi w:val="0"/>
        <w:ind w:left="425" w:leftChars="0" w:hanging="425" w:firstLineChars="0"/>
      </w:pPr>
      <w:r>
        <w:t>一级（重大）： 核心会议室在重要会议期间，主备系统均完全瘫痪，预计恢复时间&gt;30分钟。</w:t>
      </w:r>
    </w:p>
    <w:p w14:paraId="287AE8C4">
      <w:pPr>
        <w:pStyle w:val="39"/>
        <w:numPr>
          <w:ilvl w:val="0"/>
          <w:numId w:val="4"/>
        </w:numPr>
        <w:bidi w:val="0"/>
        <w:ind w:left="425" w:leftChars="0" w:hanging="425" w:firstLineChars="0"/>
      </w:pPr>
      <w:r>
        <w:t>二级（严重）： 单个会议室主要功能（如显示、音频）失效，预计恢复时间在15-30分钟。</w:t>
      </w:r>
    </w:p>
    <w:p w14:paraId="319422E5">
      <w:pPr>
        <w:pStyle w:val="39"/>
        <w:numPr>
          <w:ilvl w:val="0"/>
          <w:numId w:val="4"/>
        </w:numPr>
        <w:bidi w:val="0"/>
        <w:ind w:left="425" w:leftChars="0" w:hanging="425" w:firstLineChars="0"/>
      </w:pPr>
      <w:r>
        <w:t>三级（一般）： 设备部分功能异常（如单个麦克风失灵、投屏不稳定），会议可勉强进行，预计恢复时间&lt;15分钟。</w:t>
      </w:r>
    </w:p>
    <w:p w14:paraId="6479FBD5">
      <w:pPr>
        <w:pStyle w:val="30"/>
        <w:bidi w:val="0"/>
      </w:pPr>
      <w:r>
        <w:t>应急响应流程</w:t>
      </w:r>
    </w:p>
    <w:p w14:paraId="2047F9E3">
      <w:pPr>
        <w:pStyle w:val="31"/>
        <w:bidi w:val="0"/>
      </w:pPr>
      <w:r>
        <w:t>发现与报告</w:t>
      </w:r>
    </w:p>
    <w:p w14:paraId="2E849E67">
      <w:pPr>
        <w:pStyle w:val="29"/>
        <w:bidi w:val="0"/>
      </w:pPr>
      <w:r>
        <w:t>任何人员发现故障后，立即通知IT服务台。报告内容应包括：会议室位置、故障现象、会议重要性。</w:t>
      </w:r>
    </w:p>
    <w:p w14:paraId="7A1FE74A">
      <w:pPr>
        <w:pStyle w:val="31"/>
        <w:bidi w:val="0"/>
      </w:pPr>
      <w:r>
        <w:t>初步判断与分级</w:t>
      </w:r>
    </w:p>
    <w:p w14:paraId="6076EAEB">
      <w:pPr>
        <w:pStyle w:val="29"/>
        <w:bidi w:val="0"/>
      </w:pPr>
      <w:r>
        <w:t>IT接报人员初步判断故障等级，并立即通知</w:t>
      </w:r>
      <w:r>
        <w:rPr>
          <w:rFonts w:hint="eastAsia"/>
          <w:lang w:val="en-US" w:eastAsia="zh-CN"/>
        </w:rPr>
        <w:t>应急管理办公室</w:t>
      </w:r>
      <w:r>
        <w:t>。</w:t>
      </w:r>
    </w:p>
    <w:p w14:paraId="3EB4A0D9">
      <w:pPr>
        <w:pStyle w:val="31"/>
        <w:bidi w:val="0"/>
      </w:pPr>
      <w:r>
        <w:t>启动响应</w:t>
      </w:r>
    </w:p>
    <w:p w14:paraId="6CC8DBFA">
      <w:pPr>
        <w:pStyle w:val="29"/>
        <w:bidi w:val="0"/>
      </w:pPr>
      <w:r>
        <w:rPr>
          <w:rFonts w:hint="eastAsia"/>
          <w:lang w:val="en-US" w:eastAsia="zh-CN"/>
        </w:rPr>
        <w:t>应急管理办公室</w:t>
      </w:r>
      <w:r>
        <w:t>立即赶赴现场处置。根据事件级别决定是否启动本预案。</w:t>
      </w:r>
    </w:p>
    <w:p w14:paraId="06572C6E">
      <w:pPr>
        <w:pStyle w:val="31"/>
        <w:bidi w:val="0"/>
      </w:pPr>
      <w:r>
        <w:t>应急处置</w:t>
      </w:r>
    </w:p>
    <w:p w14:paraId="294A05C5">
      <w:pPr>
        <w:pStyle w:val="29"/>
        <w:bidi w:val="0"/>
      </w:pPr>
      <w:r>
        <w:rPr>
          <w:rFonts w:hint="eastAsia"/>
          <w:lang w:val="en-US" w:eastAsia="zh-CN"/>
        </w:rPr>
        <w:t>应急管理办公室</w:t>
      </w:r>
      <w:r>
        <w:t>按照第</w:t>
      </w:r>
      <w:r>
        <w:rPr>
          <w:rFonts w:hint="eastAsia"/>
          <w:lang w:val="en-US" w:eastAsia="zh-CN"/>
        </w:rPr>
        <w:t>3</w:t>
      </w:r>
      <w:r>
        <w:t>章“应急处置方案”进行操作。</w:t>
      </w:r>
    </w:p>
    <w:p w14:paraId="32FA08D4">
      <w:pPr>
        <w:pStyle w:val="31"/>
        <w:bidi w:val="0"/>
      </w:pPr>
      <w:r>
        <w:t>信息沟通</w:t>
      </w:r>
    </w:p>
    <w:p w14:paraId="4616B64B">
      <w:pPr>
        <w:pStyle w:val="29"/>
        <w:bidi w:val="0"/>
      </w:pPr>
      <w:r>
        <w:t>协调保障组负责向受影响会议的相关方通报情况、预计恢复时间及备用方案。</w:t>
      </w:r>
    </w:p>
    <w:p w14:paraId="3A8F3538">
      <w:pPr>
        <w:pStyle w:val="31"/>
        <w:bidi w:val="0"/>
      </w:pPr>
      <w:r>
        <w:t>升级与扩大响应</w:t>
      </w:r>
    </w:p>
    <w:p w14:paraId="5C52DEB0">
      <w:pPr>
        <w:pStyle w:val="29"/>
        <w:bidi w:val="0"/>
      </w:pPr>
      <w:r>
        <w:t>若处置无效或故障扩大，</w:t>
      </w:r>
      <w:r>
        <w:rPr>
          <w:rFonts w:hint="eastAsia"/>
          <w:lang w:val="en-US" w:eastAsia="zh-CN"/>
        </w:rPr>
        <w:t>应急管理办公室</w:t>
      </w:r>
      <w:r>
        <w:t>请求支援和升级响应。</w:t>
      </w:r>
    </w:p>
    <w:p w14:paraId="304E388D">
      <w:pPr>
        <w:pStyle w:val="31"/>
        <w:bidi w:val="0"/>
      </w:pPr>
      <w:r>
        <w:t>响应终止</w:t>
      </w:r>
    </w:p>
    <w:p w14:paraId="758FA12D">
      <w:pPr>
        <w:pStyle w:val="29"/>
        <w:bidi w:val="0"/>
      </w:pPr>
      <w:r>
        <w:t>系统功能完全恢复并经15分钟稳定运行测试后，由应急指挥领导小组宣布应急响应终止。</w:t>
      </w:r>
    </w:p>
    <w:p w14:paraId="6943D9A0">
      <w:pPr>
        <w:pStyle w:val="30"/>
        <w:bidi w:val="0"/>
      </w:pPr>
      <w:r>
        <w:t>应急处置方案</w:t>
      </w:r>
    </w:p>
    <w:p w14:paraId="7E282686">
      <w:pPr>
        <w:pStyle w:val="31"/>
        <w:bidi w:val="0"/>
      </w:pPr>
      <w:r>
        <w:t>主显示设备故障（黑屏、无法开机、无信号）</w:t>
      </w:r>
    </w:p>
    <w:p w14:paraId="16043F98">
      <w:pPr>
        <w:pStyle w:val="29"/>
        <w:bidi w:val="0"/>
      </w:pPr>
      <w:r>
        <w:t>处置步骤：</w:t>
      </w:r>
    </w:p>
    <w:p w14:paraId="63BE206E">
      <w:pPr>
        <w:pStyle w:val="29"/>
        <w:numPr>
          <w:ilvl w:val="0"/>
          <w:numId w:val="5"/>
        </w:numPr>
        <w:bidi w:val="0"/>
        <w:ind w:left="425" w:leftChars="0" w:hanging="425" w:firstLineChars="0"/>
      </w:pPr>
      <w:r>
        <w:t>检查电源连接线和信号线（HDMI/Type-C）是否松动。</w:t>
      </w:r>
    </w:p>
    <w:p w14:paraId="4EBB0C84">
      <w:pPr>
        <w:pStyle w:val="29"/>
        <w:numPr>
          <w:ilvl w:val="0"/>
          <w:numId w:val="5"/>
        </w:numPr>
        <w:bidi w:val="0"/>
        <w:ind w:left="425" w:leftChars="0" w:hanging="425" w:firstLineChars="0"/>
      </w:pPr>
      <w:r>
        <w:t>尝试重启会议平板及配套电脑。</w:t>
      </w:r>
    </w:p>
    <w:p w14:paraId="43EE455F">
      <w:pPr>
        <w:pStyle w:val="29"/>
        <w:numPr>
          <w:ilvl w:val="0"/>
          <w:numId w:val="5"/>
        </w:numPr>
        <w:bidi w:val="0"/>
        <w:ind w:left="425" w:leftChars="0" w:hanging="425" w:firstLineChars="0"/>
      </w:pPr>
      <w:r>
        <w:t>若无效，立即启用备用显示设备（存放于： IT备件库A区-02柜）：</w:t>
      </w:r>
    </w:p>
    <w:p w14:paraId="075894A5">
      <w:pPr>
        <w:pStyle w:val="29"/>
        <w:numPr>
          <w:ilvl w:val="0"/>
          <w:numId w:val="6"/>
        </w:numPr>
        <w:bidi w:val="0"/>
        <w:ind w:left="845" w:leftChars="0" w:hanging="425" w:firstLineChars="0"/>
      </w:pPr>
      <w:r>
        <w:t>连接备用电视机/投影仪。</w:t>
      </w:r>
    </w:p>
    <w:p w14:paraId="44331FFD">
      <w:pPr>
        <w:pStyle w:val="29"/>
        <w:numPr>
          <w:ilvl w:val="0"/>
          <w:numId w:val="6"/>
        </w:numPr>
        <w:bidi w:val="0"/>
        <w:ind w:left="845" w:leftChars="0" w:hanging="425" w:firstLineChars="0"/>
      </w:pPr>
      <w:r>
        <w:t>使用无线投屏器（如有）或长HDMI线缆进行连接。</w:t>
      </w:r>
    </w:p>
    <w:p w14:paraId="76120D49">
      <w:pPr>
        <w:pStyle w:val="29"/>
        <w:numPr>
          <w:ilvl w:val="0"/>
          <w:numId w:val="6"/>
        </w:numPr>
        <w:bidi w:val="0"/>
        <w:ind w:left="845" w:leftChars="0" w:hanging="425" w:firstLineChars="0"/>
      </w:pPr>
      <w:r>
        <w:t>引导用户将笔记本切换至新显示设备。</w:t>
      </w:r>
    </w:p>
    <w:p w14:paraId="5FCD4C83">
      <w:pPr>
        <w:pStyle w:val="29"/>
        <w:numPr>
          <w:ilvl w:val="0"/>
          <w:numId w:val="5"/>
        </w:numPr>
        <w:bidi w:val="0"/>
        <w:ind w:left="425" w:leftChars="0" w:hanging="425" w:firstLineChars="0"/>
      </w:pPr>
      <w:r>
        <w:t>恢复目标： 15分钟内恢复显示功能。</w:t>
      </w:r>
    </w:p>
    <w:p w14:paraId="7015B7AF">
      <w:pPr>
        <w:pStyle w:val="31"/>
        <w:bidi w:val="0"/>
      </w:pPr>
      <w:r>
        <w:t>音频系统故障（无声、啸叫、杂音）</w:t>
      </w:r>
    </w:p>
    <w:p w14:paraId="7297980F">
      <w:pPr>
        <w:pStyle w:val="29"/>
        <w:bidi w:val="0"/>
      </w:pPr>
      <w:r>
        <w:t>处置步骤：</w:t>
      </w:r>
    </w:p>
    <w:p w14:paraId="081DC7DC">
      <w:pPr>
        <w:pStyle w:val="29"/>
        <w:numPr>
          <w:ilvl w:val="0"/>
          <w:numId w:val="7"/>
        </w:numPr>
        <w:bidi w:val="0"/>
        <w:ind w:left="425" w:leftChars="0" w:hanging="425" w:firstLineChars="0"/>
      </w:pPr>
      <w:r>
        <w:t>检查所有音量设置是否被静音或调至过低。</w:t>
      </w:r>
    </w:p>
    <w:p w14:paraId="2298DF7C">
      <w:pPr>
        <w:pStyle w:val="29"/>
        <w:numPr>
          <w:ilvl w:val="0"/>
          <w:numId w:val="7"/>
        </w:numPr>
        <w:bidi w:val="0"/>
        <w:ind w:left="425" w:leftChars="0" w:hanging="425" w:firstLineChars="0"/>
      </w:pPr>
      <w:r>
        <w:t>检查音频线缆连接。</w:t>
      </w:r>
    </w:p>
    <w:p w14:paraId="49B43ED6">
      <w:pPr>
        <w:pStyle w:val="29"/>
        <w:numPr>
          <w:ilvl w:val="0"/>
          <w:numId w:val="7"/>
        </w:numPr>
        <w:bidi w:val="0"/>
        <w:ind w:left="425" w:leftChars="0" w:hanging="425" w:firstLineChars="0"/>
      </w:pPr>
      <w:r>
        <w:t>重启音频处理器或功放设备。</w:t>
      </w:r>
    </w:p>
    <w:p w14:paraId="505FF6F0">
      <w:pPr>
        <w:pStyle w:val="29"/>
        <w:numPr>
          <w:ilvl w:val="0"/>
          <w:numId w:val="7"/>
        </w:numPr>
        <w:bidi w:val="0"/>
        <w:ind w:left="425" w:leftChars="0" w:hanging="425" w:firstLineChars="0"/>
      </w:pPr>
      <w:r>
        <w:t>若无效，启用备用全向麦克风/便携音箱（存放于： IT备件库A区-03柜），通过USB或蓝牙直接与会议电脑连接。</w:t>
      </w:r>
    </w:p>
    <w:p w14:paraId="66199AC4">
      <w:pPr>
        <w:pStyle w:val="29"/>
        <w:numPr>
          <w:ilvl w:val="0"/>
          <w:numId w:val="7"/>
        </w:numPr>
        <w:bidi w:val="0"/>
        <w:ind w:left="425" w:leftChars="0" w:hanging="425" w:firstLineChars="0"/>
      </w:pPr>
      <w:r>
        <w:t>恢复目标：10分钟内恢复音频功能。</w:t>
      </w:r>
    </w:p>
    <w:p w14:paraId="44D0B0B6">
      <w:pPr>
        <w:pStyle w:val="31"/>
        <w:bidi w:val="0"/>
      </w:pPr>
      <w:r>
        <w:t>网络中断导致视频会议卡顿/中断</w:t>
      </w:r>
    </w:p>
    <w:p w14:paraId="23583987">
      <w:pPr>
        <w:pStyle w:val="29"/>
        <w:bidi w:val="0"/>
      </w:pPr>
      <w:r>
        <w:t>处置步骤：</w:t>
      </w:r>
    </w:p>
    <w:p w14:paraId="688AFC38">
      <w:pPr>
        <w:pStyle w:val="29"/>
        <w:numPr>
          <w:ilvl w:val="0"/>
          <w:numId w:val="8"/>
        </w:numPr>
        <w:bidi w:val="0"/>
        <w:ind w:left="425" w:leftChars="0" w:hanging="425" w:firstLineChars="0"/>
      </w:pPr>
      <w:r>
        <w:t>使用备用电脑进行网络测速和ping测试，判断是否为会议室本地网络问题。</w:t>
      </w:r>
    </w:p>
    <w:p w14:paraId="256991A7">
      <w:pPr>
        <w:pStyle w:val="29"/>
        <w:numPr>
          <w:ilvl w:val="0"/>
          <w:numId w:val="8"/>
        </w:numPr>
        <w:bidi w:val="0"/>
        <w:ind w:left="425" w:leftChars="0" w:hanging="425" w:firstLineChars="0"/>
      </w:pPr>
      <w:r>
        <w:t>检查网络交换机端口指示灯及配置。</w:t>
      </w:r>
    </w:p>
    <w:p w14:paraId="2E894AB3">
      <w:pPr>
        <w:pStyle w:val="29"/>
        <w:numPr>
          <w:ilvl w:val="0"/>
          <w:numId w:val="8"/>
        </w:numPr>
        <w:bidi w:val="0"/>
        <w:ind w:left="425" w:leftChars="0" w:hanging="425" w:firstLineChars="0"/>
      </w:pPr>
      <w:r>
        <w:t>若确认为本地网络问题且无法快速修复，立即启用4G/5G无线热点（存放于： IT运维中心-网络工程师工位），指导用户将会议电脑连接至热点网络。</w:t>
      </w:r>
    </w:p>
    <w:p w14:paraId="25909B54">
      <w:pPr>
        <w:pStyle w:val="29"/>
        <w:numPr>
          <w:ilvl w:val="0"/>
          <w:numId w:val="8"/>
        </w:numPr>
        <w:bidi w:val="0"/>
        <w:ind w:left="425" w:leftChars="0" w:hanging="425" w:firstLineChars="0"/>
      </w:pPr>
      <w:r>
        <w:t>引导用户重新加入视频会议。</w:t>
      </w:r>
    </w:p>
    <w:p w14:paraId="634BBC81">
      <w:pPr>
        <w:pStyle w:val="29"/>
        <w:numPr>
          <w:ilvl w:val="0"/>
          <w:numId w:val="8"/>
        </w:numPr>
        <w:bidi w:val="0"/>
        <w:ind w:left="425" w:leftChars="0" w:hanging="425" w:firstLineChars="0"/>
      </w:pPr>
      <w:r>
        <w:t>恢复目标： 8分钟内恢复网络连接。</w:t>
      </w:r>
    </w:p>
    <w:p w14:paraId="413666CA">
      <w:pPr>
        <w:pStyle w:val="31"/>
        <w:bidi w:val="0"/>
      </w:pPr>
      <w:r>
        <w:t>视频会议软件崩溃/License失效</w:t>
      </w:r>
    </w:p>
    <w:p w14:paraId="202F38E5">
      <w:pPr>
        <w:pStyle w:val="29"/>
        <w:bidi w:val="0"/>
      </w:pPr>
      <w:r>
        <w:t>处置步骤：</w:t>
      </w:r>
    </w:p>
    <w:p w14:paraId="352C6286">
      <w:pPr>
        <w:pStyle w:val="29"/>
        <w:numPr>
          <w:ilvl w:val="0"/>
          <w:numId w:val="9"/>
        </w:numPr>
        <w:bidi w:val="0"/>
        <w:ind w:left="425" w:leftChars="0" w:hanging="425" w:firstLineChars="0"/>
      </w:pPr>
      <w:r>
        <w:t>尝试重启软件及电脑。</w:t>
      </w:r>
    </w:p>
    <w:p w14:paraId="1A1BB87C">
      <w:pPr>
        <w:pStyle w:val="29"/>
        <w:numPr>
          <w:ilvl w:val="0"/>
          <w:numId w:val="9"/>
        </w:numPr>
        <w:bidi w:val="0"/>
        <w:ind w:left="425" w:leftChars="0" w:hanging="425" w:firstLineChars="0"/>
      </w:pPr>
      <w:r>
        <w:t>检查License服务状态。</w:t>
      </w:r>
    </w:p>
    <w:p w14:paraId="287290F1">
      <w:pPr>
        <w:pStyle w:val="29"/>
        <w:numPr>
          <w:ilvl w:val="0"/>
          <w:numId w:val="9"/>
        </w:numPr>
        <w:bidi w:val="0"/>
        <w:ind w:left="425" w:leftChars="0" w:hanging="425" w:firstLineChars="0"/>
      </w:pPr>
      <w:r>
        <w:t>若无法解决，立即启动备用视频会议方案：</w:t>
      </w:r>
    </w:p>
    <w:p w14:paraId="13FD4628">
      <w:pPr>
        <w:pStyle w:val="29"/>
        <w:numPr>
          <w:ilvl w:val="0"/>
          <w:numId w:val="10"/>
        </w:numPr>
        <w:bidi w:val="0"/>
        <w:ind w:left="845" w:leftChars="0" w:hanging="425" w:firstLineChars="0"/>
      </w:pPr>
      <w:r>
        <w:t>如主用为Zoom，备用可切换至腾讯会议或钉钉。</w:t>
      </w:r>
    </w:p>
    <w:p w14:paraId="3A871713">
      <w:pPr>
        <w:pStyle w:val="29"/>
        <w:numPr>
          <w:ilvl w:val="0"/>
          <w:numId w:val="10"/>
        </w:numPr>
        <w:bidi w:val="0"/>
        <w:ind w:left="845" w:leftChars="0" w:hanging="425" w:firstLineChars="0"/>
      </w:pPr>
      <w:r>
        <w:t>会议发起人通过公司内部聊天群（如钉钉/微信）快速发布新的会议链接。</w:t>
      </w:r>
    </w:p>
    <w:p w14:paraId="4D45029F">
      <w:pPr>
        <w:pStyle w:val="29"/>
        <w:numPr>
          <w:ilvl w:val="0"/>
          <w:numId w:val="9"/>
        </w:numPr>
        <w:bidi w:val="0"/>
        <w:ind w:left="425" w:leftChars="0" w:hanging="425" w:firstLineChars="0"/>
      </w:pPr>
      <w:r>
        <w:t>恢复目标：5分钟内提供可用的会议接入方式。</w:t>
      </w:r>
    </w:p>
    <w:p w14:paraId="66AEAE87">
      <w:pPr>
        <w:pStyle w:val="30"/>
        <w:bidi w:val="0"/>
      </w:pPr>
      <w:r>
        <w:t>后期处置</w:t>
      </w:r>
    </w:p>
    <w:p w14:paraId="0A64F2FD">
      <w:pPr>
        <w:pStyle w:val="29"/>
        <w:numPr>
          <w:ilvl w:val="0"/>
          <w:numId w:val="11"/>
        </w:numPr>
        <w:bidi w:val="0"/>
        <w:ind w:left="425" w:leftChars="0" w:hanging="425" w:firstLineChars="0"/>
      </w:pPr>
      <w:r>
        <w:t>故障复盘：应急响应终止后2个工作日内， 运维部组织复盘分析会，查明故障根本原因。</w:t>
      </w:r>
    </w:p>
    <w:p w14:paraId="6521B6D4">
      <w:pPr>
        <w:pStyle w:val="29"/>
        <w:numPr>
          <w:ilvl w:val="0"/>
          <w:numId w:val="11"/>
        </w:numPr>
        <w:bidi w:val="0"/>
        <w:ind w:left="425" w:leftChars="0" w:hanging="425" w:firstLineChars="0"/>
      </w:pPr>
      <w:r>
        <w:t>预案修订：根据复盘结果，对本预案进行必要的更新和优化。</w:t>
      </w:r>
    </w:p>
    <w:p w14:paraId="696F99CC">
      <w:pPr>
        <w:pStyle w:val="29"/>
        <w:numPr>
          <w:ilvl w:val="0"/>
          <w:numId w:val="11"/>
        </w:numPr>
        <w:bidi w:val="0"/>
        <w:ind w:left="425" w:leftChars="0" w:hanging="425" w:firstLineChars="0"/>
      </w:pPr>
      <w:r>
        <w:t>资源补充：检查并使用过的备用设备、耗材，及时恢复完好状态。</w:t>
      </w:r>
    </w:p>
    <w:p w14:paraId="27DC89FC">
      <w:pPr>
        <w:pStyle w:val="30"/>
        <w:bidi w:val="0"/>
      </w:pPr>
      <w:r>
        <w:t>应急保障</w:t>
      </w:r>
    </w:p>
    <w:p w14:paraId="58456843">
      <w:pPr>
        <w:pStyle w:val="29"/>
        <w:numPr>
          <w:ilvl w:val="0"/>
          <w:numId w:val="12"/>
        </w:numPr>
        <w:bidi w:val="0"/>
        <w:ind w:left="425" w:leftChars="0" w:hanging="425" w:firstLineChars="0"/>
      </w:pPr>
      <w:r>
        <w:t>物资保障：备用显示器、投屏器、 4G/5G热点、备用麦克风/音箱、各种连接线缆等关键应急物资必须定期（每季度）检查其完好性。</w:t>
      </w:r>
    </w:p>
    <w:p w14:paraId="682EAE11">
      <w:pPr>
        <w:pStyle w:val="29"/>
        <w:numPr>
          <w:ilvl w:val="0"/>
          <w:numId w:val="12"/>
        </w:numPr>
        <w:bidi w:val="0"/>
        <w:ind w:left="425" w:leftChars="0" w:hanging="425" w:firstLineChars="0"/>
      </w:pPr>
      <w:r>
        <w:t>通信保障：建立应急预案专项沟通群，确保应急期间通信畅通。</w:t>
      </w:r>
    </w:p>
    <w:p w14:paraId="0DCB403D">
      <w:pPr>
        <w:pStyle w:val="29"/>
        <w:numPr>
          <w:ilvl w:val="0"/>
          <w:numId w:val="12"/>
        </w:numPr>
        <w:bidi w:val="0"/>
        <w:ind w:left="425" w:leftChars="0" w:hanging="425" w:firstLineChars="0"/>
      </w:pPr>
      <w:r>
        <w:t>培训与演练：每年至少组织一次本预案的全面培训和演练，确保所有相关人员熟悉流程和职责。</w:t>
      </w:r>
    </w:p>
    <w:p w14:paraId="1292F1DE">
      <w:pPr>
        <w:pStyle w:val="28"/>
        <w:bidi w:val="0"/>
        <w:rPr>
          <w:rStyle w:val="38"/>
          <w:rFonts w:hint="default" w:eastAsia="宋体"/>
          <w:lang w:val="en-US" w:eastAsia="zh-CN"/>
        </w:rPr>
      </w:pPr>
      <w:bookmarkStart w:id="3" w:name="bookmark3"/>
      <w:bookmarkEnd w:id="3"/>
      <w:bookmarkStart w:id="4" w:name="_Toc17424"/>
      <w:r>
        <w:rPr>
          <w:rStyle w:val="38"/>
          <w:rFonts w:hint="eastAsia" w:eastAsia="宋体"/>
          <w:lang w:val="en-US" w:eastAsia="zh-CN"/>
        </w:rPr>
        <w:t>附则</w:t>
      </w:r>
      <w:bookmarkEnd w:id="4"/>
    </w:p>
    <w:p w14:paraId="17535BAC">
      <w:pPr>
        <w:keepNext w:val="0"/>
        <w:keepLines w:val="0"/>
        <w:pageBreakBefore w:val="0"/>
        <w:widowControl/>
        <w:numPr>
          <w:ilvl w:val="0"/>
          <w:numId w:val="13"/>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734B5A00">
      <w:pPr>
        <w:keepNext w:val="0"/>
        <w:keepLines w:val="0"/>
        <w:pageBreakBefore w:val="0"/>
        <w:widowControl/>
        <w:numPr>
          <w:ilvl w:val="0"/>
          <w:numId w:val="13"/>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572E3990">
      <w:pPr>
        <w:pStyle w:val="28"/>
        <w:bidi w:val="0"/>
        <w:rPr>
          <w:rFonts w:hint="default"/>
          <w:lang w:val="en-US" w:eastAsia="zh-CN"/>
        </w:rPr>
      </w:pPr>
      <w:bookmarkStart w:id="5" w:name="bookmark14"/>
      <w:bookmarkEnd w:id="5"/>
      <w:r>
        <w:rPr>
          <w:rFonts w:hint="eastAsia"/>
          <w:lang w:val="en-US" w:eastAsia="zh-CN"/>
        </w:rPr>
        <w:t>附件</w:t>
      </w:r>
    </w:p>
    <w:p w14:paraId="31082363">
      <w:pPr>
        <w:pStyle w:val="29"/>
        <w:rPr>
          <w:rFonts w:hint="default"/>
          <w:lang w:val="en-US" w:eastAsia="zh-CN"/>
        </w:rPr>
      </w:pPr>
      <w:r>
        <w:rPr>
          <w:rFonts w:hint="eastAsia"/>
          <w:lang w:val="en-US" w:eastAsia="zh-CN"/>
        </w:rPr>
        <w:t>无</w:t>
      </w:r>
    </w:p>
    <w:p w14:paraId="3B578C70">
      <w:pPr>
        <w:pStyle w:val="28"/>
        <w:bidi w:val="0"/>
        <w:rPr>
          <w:rFonts w:hint="eastAsia"/>
          <w:lang w:val="en-US" w:eastAsia="zh-CN"/>
        </w:rPr>
      </w:pPr>
      <w:r>
        <w:rPr>
          <w:rFonts w:hint="eastAsia"/>
          <w:lang w:val="en-US" w:eastAsia="zh-CN"/>
        </w:rPr>
        <w:t>记录</w:t>
      </w:r>
    </w:p>
    <w:p w14:paraId="4450CD9F">
      <w:pPr>
        <w:pStyle w:val="29"/>
        <w:rPr>
          <w:rFonts w:hint="default"/>
          <w:lang w:val="en-US" w:eastAsia="zh-CN"/>
        </w:rPr>
      </w:pPr>
      <w:r>
        <w:rPr>
          <w:rFonts w:hint="eastAsia"/>
          <w:lang w:val="en-US" w:eastAsia="zh-CN"/>
        </w:rPr>
        <w:t>无</w:t>
      </w: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9322B77C"/>
    <w:multiLevelType w:val="singleLevel"/>
    <w:tmpl w:val="9322B77C"/>
    <w:lvl w:ilvl="0" w:tentative="0">
      <w:start w:val="1"/>
      <w:numFmt w:val="decimal"/>
      <w:lvlText w:val="%1."/>
      <w:lvlJc w:val="left"/>
      <w:pPr>
        <w:ind w:left="425" w:hanging="425"/>
      </w:pPr>
      <w:rPr>
        <w:rFonts w:hint="default"/>
      </w:rPr>
    </w:lvl>
  </w:abstractNum>
  <w:abstractNum w:abstractNumId="2">
    <w:nsid w:val="A6B89A1E"/>
    <w:multiLevelType w:val="singleLevel"/>
    <w:tmpl w:val="A6B89A1E"/>
    <w:lvl w:ilvl="0" w:tentative="0">
      <w:start w:val="1"/>
      <w:numFmt w:val="decimal"/>
      <w:lvlText w:val="%1."/>
      <w:lvlJc w:val="left"/>
      <w:pPr>
        <w:ind w:left="425" w:hanging="425"/>
      </w:pPr>
      <w:rPr>
        <w:rFonts w:hint="default"/>
      </w:rPr>
    </w:lvl>
  </w:abstractNum>
  <w:abstractNum w:abstractNumId="3">
    <w:nsid w:val="BB6E1541"/>
    <w:multiLevelType w:val="singleLevel"/>
    <w:tmpl w:val="BB6E1541"/>
    <w:lvl w:ilvl="0" w:tentative="0">
      <w:start w:val="1"/>
      <w:numFmt w:val="decimal"/>
      <w:lvlText w:val="%1."/>
      <w:lvlJc w:val="left"/>
      <w:pPr>
        <w:ind w:left="425" w:hanging="425"/>
      </w:pPr>
      <w:rPr>
        <w:rFonts w:hint="default"/>
      </w:rPr>
    </w:lvl>
  </w:abstractNum>
  <w:abstractNum w:abstractNumId="4">
    <w:nsid w:val="CC0AEC5A"/>
    <w:multiLevelType w:val="singleLevel"/>
    <w:tmpl w:val="CC0AEC5A"/>
    <w:lvl w:ilvl="0" w:tentative="0">
      <w:start w:val="1"/>
      <w:numFmt w:val="decimal"/>
      <w:lvlText w:val="%1."/>
      <w:lvlJc w:val="left"/>
      <w:pPr>
        <w:ind w:left="425" w:hanging="425"/>
      </w:pPr>
      <w:rPr>
        <w:rFonts w:hint="default"/>
      </w:rPr>
    </w:lvl>
  </w:abstractNum>
  <w:abstractNum w:abstractNumId="5">
    <w:nsid w:val="D715F6F1"/>
    <w:multiLevelType w:val="singleLevel"/>
    <w:tmpl w:val="D715F6F1"/>
    <w:lvl w:ilvl="0" w:tentative="0">
      <w:start w:val="1"/>
      <w:numFmt w:val="decimal"/>
      <w:lvlText w:val="%1."/>
      <w:lvlJc w:val="left"/>
      <w:pPr>
        <w:ind w:left="425" w:hanging="425"/>
      </w:pPr>
      <w:rPr>
        <w:rFonts w:hint="default"/>
      </w:rPr>
    </w:lvl>
  </w:abstractNum>
  <w:abstractNum w:abstractNumId="6">
    <w:nsid w:val="D80CE31D"/>
    <w:multiLevelType w:val="singleLevel"/>
    <w:tmpl w:val="D80CE31D"/>
    <w:lvl w:ilvl="0" w:tentative="0">
      <w:start w:val="1"/>
      <w:numFmt w:val="decimal"/>
      <w:lvlText w:val="%1."/>
      <w:lvlJc w:val="left"/>
      <w:pPr>
        <w:ind w:left="425" w:hanging="425"/>
      </w:pPr>
      <w:rPr>
        <w:rFonts w:hint="default"/>
      </w:rPr>
    </w:lvl>
  </w:abstractNum>
  <w:abstractNum w:abstractNumId="7">
    <w:nsid w:val="DCFAC2ED"/>
    <w:multiLevelType w:val="singleLevel"/>
    <w:tmpl w:val="DCFAC2ED"/>
    <w:lvl w:ilvl="0" w:tentative="0">
      <w:start w:val="1"/>
      <w:numFmt w:val="decimal"/>
      <w:lvlText w:val="%1."/>
      <w:lvlJc w:val="left"/>
      <w:pPr>
        <w:ind w:left="425" w:hanging="425"/>
      </w:pPr>
      <w:rPr>
        <w:rFonts w:hint="default"/>
      </w:rPr>
    </w:lvl>
  </w:abstractNum>
  <w:abstractNum w:abstractNumId="8">
    <w:nsid w:val="F9539CF3"/>
    <w:multiLevelType w:val="singleLevel"/>
    <w:tmpl w:val="F9539CF3"/>
    <w:lvl w:ilvl="0" w:tentative="0">
      <w:start w:val="1"/>
      <w:numFmt w:val="decimal"/>
      <w:lvlText w:val="%1."/>
      <w:lvlJc w:val="left"/>
      <w:pPr>
        <w:ind w:left="425" w:hanging="425"/>
      </w:pPr>
      <w:rPr>
        <w:rFonts w:hint="default"/>
      </w:rPr>
    </w:lvl>
  </w:abstractNum>
  <w:abstractNum w:abstractNumId="9">
    <w:nsid w:val="1CCB5DE7"/>
    <w:multiLevelType w:val="singleLevel"/>
    <w:tmpl w:val="1CCB5DE7"/>
    <w:lvl w:ilvl="0" w:tentative="0">
      <w:start w:val="1"/>
      <w:numFmt w:val="decimal"/>
      <w:lvlText w:val="(%1)"/>
      <w:lvlJc w:val="left"/>
      <w:pPr>
        <w:tabs>
          <w:tab w:val="left" w:pos="420"/>
        </w:tabs>
        <w:ind w:left="845" w:hanging="425"/>
      </w:pPr>
      <w:rPr>
        <w:rFonts w:hint="default"/>
      </w:rPr>
    </w:lvl>
  </w:abstractNum>
  <w:abstractNum w:abstractNumId="10">
    <w:nsid w:val="23A309AC"/>
    <w:multiLevelType w:val="singleLevel"/>
    <w:tmpl w:val="23A309AC"/>
    <w:lvl w:ilvl="0" w:tentative="0">
      <w:start w:val="1"/>
      <w:numFmt w:val="decimal"/>
      <w:lvlText w:val="(%1)"/>
      <w:lvlJc w:val="left"/>
      <w:pPr>
        <w:tabs>
          <w:tab w:val="left" w:pos="420"/>
        </w:tabs>
        <w:ind w:left="845" w:hanging="425"/>
      </w:pPr>
      <w:rPr>
        <w:rFonts w:hint="default"/>
      </w:rPr>
    </w:lvl>
  </w:abstractNum>
  <w:abstractNum w:abstractNumId="11">
    <w:nsid w:val="5A146806"/>
    <w:multiLevelType w:val="singleLevel"/>
    <w:tmpl w:val="5A146806"/>
    <w:lvl w:ilvl="0" w:tentative="0">
      <w:start w:val="1"/>
      <w:numFmt w:val="decimal"/>
      <w:lvlText w:val="%1."/>
      <w:lvlJc w:val="left"/>
      <w:pPr>
        <w:ind w:left="425" w:hanging="425"/>
      </w:pPr>
      <w:rPr>
        <w:rFonts w:hint="default"/>
      </w:rPr>
    </w:lvl>
  </w:abstractNum>
  <w:abstractNum w:abstractNumId="12">
    <w:nsid w:val="76335099"/>
    <w:multiLevelType w:val="singleLevel"/>
    <w:tmpl w:val="76335099"/>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 w:numId="4">
    <w:abstractNumId w:val="11"/>
  </w:num>
  <w:num w:numId="5">
    <w:abstractNumId w:val="3"/>
  </w:num>
  <w:num w:numId="6">
    <w:abstractNumId w:val="10"/>
  </w:num>
  <w:num w:numId="7">
    <w:abstractNumId w:val="5"/>
  </w:num>
  <w:num w:numId="8">
    <w:abstractNumId w:val="4"/>
  </w:num>
  <w:num w:numId="9">
    <w:abstractNumId w:val="7"/>
  </w:num>
  <w:num w:numId="10">
    <w:abstractNumId w:val="9"/>
  </w:num>
  <w:num w:numId="11">
    <w:abstractNumId w:val="6"/>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1282E62"/>
    <w:rsid w:val="02105DD0"/>
    <w:rsid w:val="05573D16"/>
    <w:rsid w:val="05C8669A"/>
    <w:rsid w:val="05D9694B"/>
    <w:rsid w:val="08055CAB"/>
    <w:rsid w:val="08FD6983"/>
    <w:rsid w:val="09615163"/>
    <w:rsid w:val="0983332C"/>
    <w:rsid w:val="0B13248D"/>
    <w:rsid w:val="0B930577"/>
    <w:rsid w:val="0CA84E57"/>
    <w:rsid w:val="0DC14423"/>
    <w:rsid w:val="0E4869E6"/>
    <w:rsid w:val="100912AD"/>
    <w:rsid w:val="104D4694"/>
    <w:rsid w:val="104E7111"/>
    <w:rsid w:val="11262E5F"/>
    <w:rsid w:val="112A43FB"/>
    <w:rsid w:val="119775A7"/>
    <w:rsid w:val="160F7CF5"/>
    <w:rsid w:val="167A1613"/>
    <w:rsid w:val="16C265E3"/>
    <w:rsid w:val="16EA5B13"/>
    <w:rsid w:val="170C7BDF"/>
    <w:rsid w:val="1A264519"/>
    <w:rsid w:val="1AAB4490"/>
    <w:rsid w:val="1AC27A2C"/>
    <w:rsid w:val="1B8D153C"/>
    <w:rsid w:val="1CFA72C7"/>
    <w:rsid w:val="1D7B4B8F"/>
    <w:rsid w:val="1E360515"/>
    <w:rsid w:val="1F2111C5"/>
    <w:rsid w:val="209179EB"/>
    <w:rsid w:val="21617F9F"/>
    <w:rsid w:val="23BA5744"/>
    <w:rsid w:val="25626B9F"/>
    <w:rsid w:val="262C093B"/>
    <w:rsid w:val="26747E2C"/>
    <w:rsid w:val="27363334"/>
    <w:rsid w:val="279B1602"/>
    <w:rsid w:val="27BE2A77"/>
    <w:rsid w:val="28862099"/>
    <w:rsid w:val="296511D8"/>
    <w:rsid w:val="2A0635A2"/>
    <w:rsid w:val="2B141C1D"/>
    <w:rsid w:val="2B9C4A12"/>
    <w:rsid w:val="2BC0763F"/>
    <w:rsid w:val="2D381E44"/>
    <w:rsid w:val="2E516CA5"/>
    <w:rsid w:val="2E9D013C"/>
    <w:rsid w:val="2F135073"/>
    <w:rsid w:val="2F4A02C4"/>
    <w:rsid w:val="2FF80E15"/>
    <w:rsid w:val="301D1535"/>
    <w:rsid w:val="32C13470"/>
    <w:rsid w:val="33896EE1"/>
    <w:rsid w:val="34034EE6"/>
    <w:rsid w:val="34CE1050"/>
    <w:rsid w:val="34E97B7A"/>
    <w:rsid w:val="366559E4"/>
    <w:rsid w:val="36785717"/>
    <w:rsid w:val="36F25E64"/>
    <w:rsid w:val="36FA4FFE"/>
    <w:rsid w:val="37BF1626"/>
    <w:rsid w:val="384A559C"/>
    <w:rsid w:val="39431617"/>
    <w:rsid w:val="3A3D6832"/>
    <w:rsid w:val="3B6E533A"/>
    <w:rsid w:val="3C28373B"/>
    <w:rsid w:val="3C634773"/>
    <w:rsid w:val="3D156FFD"/>
    <w:rsid w:val="3D695DB9"/>
    <w:rsid w:val="3E2128A5"/>
    <w:rsid w:val="3E7C0C45"/>
    <w:rsid w:val="3EAB0654"/>
    <w:rsid w:val="3F5A203E"/>
    <w:rsid w:val="410A1661"/>
    <w:rsid w:val="41566655"/>
    <w:rsid w:val="426B25D4"/>
    <w:rsid w:val="429D0A4E"/>
    <w:rsid w:val="43A318F9"/>
    <w:rsid w:val="442D371B"/>
    <w:rsid w:val="4613720A"/>
    <w:rsid w:val="461865CE"/>
    <w:rsid w:val="4642189D"/>
    <w:rsid w:val="471A69C9"/>
    <w:rsid w:val="47432D89"/>
    <w:rsid w:val="47E81FD1"/>
    <w:rsid w:val="4893018E"/>
    <w:rsid w:val="4AA3483E"/>
    <w:rsid w:val="4AC42881"/>
    <w:rsid w:val="4AD909E8"/>
    <w:rsid w:val="4B644252"/>
    <w:rsid w:val="4BCA036B"/>
    <w:rsid w:val="4C013661"/>
    <w:rsid w:val="4D343593"/>
    <w:rsid w:val="4ECA2430"/>
    <w:rsid w:val="4F540134"/>
    <w:rsid w:val="521B69AA"/>
    <w:rsid w:val="53F35EC6"/>
    <w:rsid w:val="54B725CE"/>
    <w:rsid w:val="54CD67D6"/>
    <w:rsid w:val="57AC16EE"/>
    <w:rsid w:val="58022C3B"/>
    <w:rsid w:val="5859544B"/>
    <w:rsid w:val="58956A46"/>
    <w:rsid w:val="58C8202C"/>
    <w:rsid w:val="5ADC59C5"/>
    <w:rsid w:val="5BBB7799"/>
    <w:rsid w:val="5BC619FD"/>
    <w:rsid w:val="5C717B35"/>
    <w:rsid w:val="5E133B7E"/>
    <w:rsid w:val="5E3B2A02"/>
    <w:rsid w:val="5E8425FB"/>
    <w:rsid w:val="608C7E04"/>
    <w:rsid w:val="60FF797D"/>
    <w:rsid w:val="62364D94"/>
    <w:rsid w:val="62853344"/>
    <w:rsid w:val="637B1AF3"/>
    <w:rsid w:val="6457120A"/>
    <w:rsid w:val="65F22540"/>
    <w:rsid w:val="67931B01"/>
    <w:rsid w:val="683C32D8"/>
    <w:rsid w:val="68780C04"/>
    <w:rsid w:val="689A2A1B"/>
    <w:rsid w:val="69862A24"/>
    <w:rsid w:val="69B61AD7"/>
    <w:rsid w:val="69D9062E"/>
    <w:rsid w:val="6ADC556D"/>
    <w:rsid w:val="6B6421C7"/>
    <w:rsid w:val="6B947BF6"/>
    <w:rsid w:val="6BCE07B8"/>
    <w:rsid w:val="6C7C0DB6"/>
    <w:rsid w:val="711710AD"/>
    <w:rsid w:val="7148395C"/>
    <w:rsid w:val="71D074AE"/>
    <w:rsid w:val="72895FDA"/>
    <w:rsid w:val="72DC0914"/>
    <w:rsid w:val="747E1443"/>
    <w:rsid w:val="768357FF"/>
    <w:rsid w:val="7695113D"/>
    <w:rsid w:val="77020109"/>
    <w:rsid w:val="78CC6D3B"/>
    <w:rsid w:val="78DC469B"/>
    <w:rsid w:val="7A147095"/>
    <w:rsid w:val="7AF366E7"/>
    <w:rsid w:val="7B734B9C"/>
    <w:rsid w:val="7D1E37CD"/>
    <w:rsid w:val="7DD86C30"/>
    <w:rsid w:val="7E993157"/>
    <w:rsid w:val="7EC14D4E"/>
    <w:rsid w:val="7F45025C"/>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2031</Words>
  <Characters>2179</Characters>
  <Lines>0</Lines>
  <Paragraphs>0</Paragraphs>
  <TotalTime>5</TotalTime>
  <ScaleCrop>false</ScaleCrop>
  <LinksUpToDate>false</LinksUpToDate>
  <CharactersWithSpaces>2243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2025-09-12T07:04:23Z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41A67243DC5B46309601F3EDD32C00CA_13</vt:lpwstr>
  </property>
  <property fmtid="{D5CDD505-2E9C-101B-9397-08002B2CF9AE}" pid="4" name="KSOTemplateDocerSaveRecord">
    <vt:lpwstr>eyJoZGlkIjoiMDY5NmFjMmM4ZTljMGJiZDAxN2JmYTc0NGI0NmFiNDgiLCJ1c2VySWQiOiIxMDc1MzgyOSJ9</vt:lpwstr>
  </property>
</Properties>
</file>