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D26B6C">
      <w:pPr>
        <w:pStyle w:val="11"/>
        <w:spacing w:line="252" w:lineRule="auto"/>
      </w:pPr>
    </w:p>
    <w:p w14:paraId="1F184CC9">
      <w:pPr>
        <w:pStyle w:val="11"/>
        <w:spacing w:line="253" w:lineRule="auto"/>
      </w:pPr>
    </w:p>
    <w:p w14:paraId="3BDB0546">
      <w:pPr>
        <w:pStyle w:val="11"/>
        <w:spacing w:line="253" w:lineRule="auto"/>
      </w:pPr>
    </w:p>
    <w:p w14:paraId="55BCF892">
      <w:pPr>
        <w:spacing w:before="169" w:line="220" w:lineRule="auto"/>
        <w:ind w:left="1329"/>
        <w:rPr>
          <w:rFonts w:ascii="宋体" w:hAnsi="宋体" w:eastAsia="宋体" w:cs="宋体"/>
          <w:sz w:val="52"/>
          <w:szCs w:val="52"/>
        </w:rPr>
      </w:pPr>
      <w:r>
        <w:rPr>
          <w:rFonts w:ascii="宋体" w:hAnsi="宋体" w:eastAsia="宋体" w:cs="宋体"/>
          <w:spacing w:val="-3"/>
          <w:sz w:val="52"/>
          <w:szCs w:val="52"/>
        </w:rPr>
        <w:t>公司组织架构及职责说明</w:t>
      </w:r>
    </w:p>
    <w:p w14:paraId="21721DB9">
      <w:pPr>
        <w:pStyle w:val="11"/>
        <w:spacing w:line="252" w:lineRule="auto"/>
      </w:pPr>
    </w:p>
    <w:p w14:paraId="672FF9FC">
      <w:pPr>
        <w:pStyle w:val="11"/>
        <w:spacing w:line="252" w:lineRule="auto"/>
      </w:pPr>
    </w:p>
    <w:p w14:paraId="43592012">
      <w:pPr>
        <w:pStyle w:val="11"/>
        <w:spacing w:line="253" w:lineRule="auto"/>
      </w:pPr>
    </w:p>
    <w:p w14:paraId="374DC569">
      <w:pPr>
        <w:pStyle w:val="11"/>
        <w:spacing w:line="253" w:lineRule="auto"/>
      </w:pPr>
    </w:p>
    <w:p w14:paraId="2B03AF4D">
      <w:pPr>
        <w:pStyle w:val="11"/>
        <w:spacing w:line="253" w:lineRule="auto"/>
      </w:pPr>
    </w:p>
    <w:p w14:paraId="1D427116">
      <w:pPr>
        <w:pStyle w:val="11"/>
        <w:spacing w:line="253" w:lineRule="auto"/>
      </w:pPr>
    </w:p>
    <w:p w14:paraId="10667387">
      <w:pPr>
        <w:pStyle w:val="11"/>
        <w:spacing w:line="253" w:lineRule="auto"/>
      </w:pPr>
    </w:p>
    <w:p w14:paraId="41AE9F77">
      <w:pPr>
        <w:pStyle w:val="11"/>
        <w:spacing w:line="253" w:lineRule="auto"/>
      </w:pPr>
    </w:p>
    <w:p w14:paraId="76AA7E1B">
      <w:pPr>
        <w:pStyle w:val="11"/>
        <w:spacing w:line="253" w:lineRule="auto"/>
      </w:pPr>
    </w:p>
    <w:p w14:paraId="1860388F">
      <w:pPr>
        <w:pStyle w:val="11"/>
        <w:spacing w:line="253" w:lineRule="auto"/>
      </w:pPr>
    </w:p>
    <w:p w14:paraId="11FD0F95">
      <w:pPr>
        <w:pStyle w:val="11"/>
        <w:spacing w:line="253" w:lineRule="auto"/>
      </w:pPr>
    </w:p>
    <w:p w14:paraId="7C93B0A7">
      <w:pPr>
        <w:pStyle w:val="11"/>
        <w:spacing w:line="253" w:lineRule="auto"/>
      </w:pPr>
    </w:p>
    <w:p w14:paraId="1B4ADE11">
      <w:pPr>
        <w:pStyle w:val="11"/>
        <w:spacing w:line="253" w:lineRule="auto"/>
      </w:pPr>
    </w:p>
    <w:p w14:paraId="20B5F46C">
      <w:pPr>
        <w:spacing w:line="1572" w:lineRule="exact"/>
        <w:ind w:firstLine="1535"/>
      </w:pPr>
      <w:r>
        <w:rPr>
          <w:position w:val="-31"/>
        </w:rPr>
        <w:drawing>
          <wp:inline distT="0" distB="0" distL="0" distR="0">
            <wp:extent cx="3173730" cy="9982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3174364" cy="998220"/>
                    </a:xfrm>
                    <a:prstGeom prst="rect">
                      <a:avLst/>
                    </a:prstGeom>
                  </pic:spPr>
                </pic:pic>
              </a:graphicData>
            </a:graphic>
          </wp:inline>
        </w:drawing>
      </w:r>
    </w:p>
    <w:p w14:paraId="33182108">
      <w:pPr>
        <w:pStyle w:val="11"/>
        <w:spacing w:line="256" w:lineRule="auto"/>
      </w:pPr>
    </w:p>
    <w:p w14:paraId="464236CB">
      <w:pPr>
        <w:pStyle w:val="11"/>
        <w:spacing w:line="256" w:lineRule="auto"/>
      </w:pPr>
    </w:p>
    <w:p w14:paraId="741E1653">
      <w:pPr>
        <w:pStyle w:val="11"/>
        <w:spacing w:line="256" w:lineRule="auto"/>
      </w:pPr>
    </w:p>
    <w:p w14:paraId="71ABF0C5">
      <w:pPr>
        <w:pStyle w:val="11"/>
        <w:spacing w:line="256" w:lineRule="auto"/>
      </w:pPr>
    </w:p>
    <w:p w14:paraId="670C923D">
      <w:pPr>
        <w:pStyle w:val="11"/>
        <w:spacing w:line="257" w:lineRule="auto"/>
      </w:pPr>
    </w:p>
    <w:p w14:paraId="79F80771">
      <w:pPr>
        <w:pStyle w:val="11"/>
        <w:spacing w:line="257" w:lineRule="auto"/>
      </w:pPr>
    </w:p>
    <w:p w14:paraId="1DDB35E5">
      <w:pPr>
        <w:pStyle w:val="11"/>
        <w:spacing w:line="257" w:lineRule="auto"/>
      </w:pPr>
    </w:p>
    <w:p w14:paraId="69F260E2">
      <w:pPr>
        <w:pStyle w:val="11"/>
        <w:spacing w:line="257" w:lineRule="auto"/>
      </w:pPr>
    </w:p>
    <w:p w14:paraId="2458228C">
      <w:pPr>
        <w:pStyle w:val="11"/>
        <w:spacing w:line="257" w:lineRule="auto"/>
      </w:pPr>
    </w:p>
    <w:p w14:paraId="31841C45">
      <w:pPr>
        <w:pStyle w:val="11"/>
        <w:spacing w:line="257" w:lineRule="auto"/>
      </w:pPr>
    </w:p>
    <w:p w14:paraId="0EF8255D">
      <w:pPr>
        <w:pStyle w:val="11"/>
        <w:spacing w:line="257" w:lineRule="auto"/>
      </w:pPr>
    </w:p>
    <w:p w14:paraId="13E66C77">
      <w:pPr>
        <w:pStyle w:val="11"/>
        <w:spacing w:line="257" w:lineRule="auto"/>
      </w:pPr>
    </w:p>
    <w:p w14:paraId="244066EB">
      <w:pPr>
        <w:spacing w:before="117" w:line="219" w:lineRule="auto"/>
        <w:jc w:val="both"/>
        <w:rPr>
          <w:rFonts w:hint="eastAsia" w:ascii="宋体" w:hAnsi="宋体" w:eastAsia="宋体" w:cs="宋体"/>
          <w:spacing w:val="-1"/>
          <w:sz w:val="36"/>
          <w:szCs w:val="36"/>
        </w:rPr>
      </w:pPr>
    </w:p>
    <w:p w14:paraId="24BC96E8">
      <w:pPr>
        <w:spacing w:before="117" w:line="219" w:lineRule="auto"/>
        <w:jc w:val="both"/>
        <w:rPr>
          <w:rFonts w:hint="eastAsia" w:ascii="宋体" w:hAnsi="宋体" w:eastAsia="宋体" w:cs="宋体"/>
          <w:spacing w:val="-1"/>
          <w:sz w:val="36"/>
          <w:szCs w:val="36"/>
        </w:rPr>
      </w:pPr>
    </w:p>
    <w:p w14:paraId="0C3EECB1">
      <w:pPr>
        <w:spacing w:before="117" w:line="219" w:lineRule="auto"/>
        <w:jc w:val="center"/>
        <w:rPr>
          <w:rFonts w:ascii="宋体" w:hAnsi="宋体" w:eastAsia="宋体" w:cs="宋体"/>
          <w:sz w:val="36"/>
          <w:szCs w:val="36"/>
        </w:rPr>
      </w:pPr>
      <w:r>
        <w:rPr>
          <w:rFonts w:hint="eastAsia" w:ascii="宋体" w:hAnsi="宋体" w:eastAsia="宋体" w:cs="宋体"/>
          <w:spacing w:val="-1"/>
          <w:sz w:val="36"/>
          <w:szCs w:val="36"/>
        </w:rPr>
        <w:t>万洲奇智(青岛)信息科技有限公</w:t>
      </w:r>
      <w:r>
        <w:rPr>
          <w:rFonts w:ascii="宋体" w:hAnsi="宋体" w:eastAsia="宋体" w:cs="宋体"/>
          <w:spacing w:val="-1"/>
          <w:sz w:val="36"/>
          <w:szCs w:val="36"/>
        </w:rPr>
        <w:t>司</w:t>
      </w:r>
    </w:p>
    <w:p w14:paraId="7FCDB06C">
      <w:pPr>
        <w:spacing w:line="219" w:lineRule="auto"/>
        <w:rPr>
          <w:rFonts w:ascii="宋体" w:hAnsi="宋体" w:eastAsia="宋体" w:cs="宋体"/>
          <w:sz w:val="36"/>
          <w:szCs w:val="36"/>
        </w:rPr>
      </w:pPr>
    </w:p>
    <w:p w14:paraId="69B7F4AB">
      <w:pPr>
        <w:spacing w:line="219" w:lineRule="auto"/>
        <w:jc w:val="center"/>
        <w:rPr>
          <w:rFonts w:hint="default" w:ascii="宋体" w:hAnsi="宋体" w:eastAsia="宋体" w:cs="宋体"/>
          <w:sz w:val="36"/>
          <w:szCs w:val="36"/>
          <w:lang w:val="en-US" w:eastAsia="zh-CN"/>
        </w:rPr>
        <w:sectPr>
          <w:pgSz w:w="11912" w:h="16841"/>
          <w:pgMar w:top="1431" w:right="1786" w:bottom="2683" w:left="1786" w:header="0" w:footer="2255" w:gutter="0"/>
          <w:cols w:space="720" w:num="1"/>
        </w:sectPr>
      </w:pPr>
      <w:r>
        <w:rPr>
          <w:rFonts w:hint="eastAsia" w:ascii="宋体" w:hAnsi="宋体" w:eastAsia="宋体" w:cs="宋体"/>
          <w:sz w:val="36"/>
          <w:szCs w:val="36"/>
          <w:lang w:val="en-US" w:eastAsia="zh-CN"/>
        </w:rPr>
        <w:t>2025年1月4日</w:t>
      </w:r>
    </w:p>
    <w:p w14:paraId="2FEC0457">
      <w:pPr>
        <w:bidi w:val="0"/>
      </w:pPr>
      <w:r>
        <w:t>文档信息</w:t>
      </w:r>
    </w:p>
    <w:p w14:paraId="5418D84D">
      <w:pPr>
        <w:spacing w:before="37"/>
      </w:pPr>
    </w:p>
    <w:tbl>
      <w:tblPr>
        <w:tblStyle w:val="18"/>
        <w:tblW w:w="8653" w:type="dxa"/>
        <w:tblInd w:w="2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05"/>
        <w:gridCol w:w="1560"/>
        <w:gridCol w:w="2123"/>
        <w:gridCol w:w="1701"/>
        <w:gridCol w:w="1564"/>
      </w:tblGrid>
      <w:tr w14:paraId="22DBDF2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3" w:hRule="atLeast"/>
        </w:trPr>
        <w:tc>
          <w:tcPr>
            <w:tcW w:w="1705" w:type="dxa"/>
            <w:vAlign w:val="top"/>
          </w:tcPr>
          <w:p w14:paraId="73A28C31">
            <w:pPr>
              <w:pStyle w:val="19"/>
              <w:spacing w:before="134" w:line="221" w:lineRule="auto"/>
              <w:ind w:left="232"/>
            </w:pPr>
            <w:r>
              <w:rPr>
                <w:spacing w:val="-2"/>
              </w:rPr>
              <w:t>文档名称编号</w:t>
            </w:r>
          </w:p>
        </w:tc>
        <w:tc>
          <w:tcPr>
            <w:tcW w:w="6948" w:type="dxa"/>
            <w:gridSpan w:val="4"/>
            <w:vAlign w:val="top"/>
          </w:tcPr>
          <w:p w14:paraId="3CBF7121">
            <w:pPr>
              <w:pStyle w:val="19"/>
              <w:spacing w:before="135" w:line="219" w:lineRule="auto"/>
              <w:ind w:left="123"/>
            </w:pPr>
            <w:r>
              <w:t>公司组织架构及职责说明（</w:t>
            </w:r>
            <w:r>
              <w:rPr>
                <w:rFonts w:hint="eastAsia"/>
                <w:lang w:val="en-US" w:eastAsia="zh-CN"/>
              </w:rPr>
              <w:t>WZQZ</w:t>
            </w:r>
            <w:r>
              <w:t>-ITSS</w:t>
            </w:r>
            <w:r>
              <w:rPr>
                <w:spacing w:val="-1"/>
              </w:rPr>
              <w:t>-ZZJG/ZZSM）</w:t>
            </w:r>
          </w:p>
        </w:tc>
      </w:tr>
      <w:tr w14:paraId="1821538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705" w:type="dxa"/>
            <w:vAlign w:val="top"/>
          </w:tcPr>
          <w:p w14:paraId="3236F800">
            <w:pPr>
              <w:pStyle w:val="19"/>
              <w:spacing w:before="130" w:line="221" w:lineRule="auto"/>
              <w:ind w:left="444"/>
            </w:pPr>
            <w:r>
              <w:rPr>
                <w:spacing w:val="-2"/>
              </w:rPr>
              <w:t>编制单位</w:t>
            </w:r>
          </w:p>
        </w:tc>
        <w:tc>
          <w:tcPr>
            <w:tcW w:w="6948" w:type="dxa"/>
            <w:gridSpan w:val="4"/>
            <w:vAlign w:val="top"/>
          </w:tcPr>
          <w:p w14:paraId="20025CC2">
            <w:pPr>
              <w:pStyle w:val="19"/>
              <w:spacing w:before="130" w:line="220" w:lineRule="auto"/>
              <w:ind w:left="117"/>
            </w:pPr>
            <w:r>
              <w:rPr>
                <w:spacing w:val="-1"/>
              </w:rPr>
              <w:t>青岛慧海联创信息技术有限公司</w:t>
            </w:r>
          </w:p>
        </w:tc>
      </w:tr>
      <w:tr w14:paraId="3632A64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0" w:hRule="atLeast"/>
        </w:trPr>
        <w:tc>
          <w:tcPr>
            <w:tcW w:w="1705" w:type="dxa"/>
            <w:vAlign w:val="top"/>
          </w:tcPr>
          <w:p w14:paraId="3082D1F7">
            <w:pPr>
              <w:pStyle w:val="19"/>
              <w:spacing w:before="133" w:line="220" w:lineRule="auto"/>
              <w:ind w:left="444"/>
            </w:pPr>
            <w:r>
              <w:rPr>
                <w:spacing w:val="-2"/>
              </w:rPr>
              <w:t>文档版本</w:t>
            </w:r>
          </w:p>
        </w:tc>
        <w:tc>
          <w:tcPr>
            <w:tcW w:w="1560" w:type="dxa"/>
            <w:vAlign w:val="top"/>
          </w:tcPr>
          <w:p w14:paraId="169AE3C3">
            <w:pPr>
              <w:pStyle w:val="19"/>
              <w:spacing w:before="133" w:line="220" w:lineRule="auto"/>
              <w:ind w:left="370"/>
            </w:pPr>
            <w:r>
              <w:rPr>
                <w:spacing w:val="-2"/>
              </w:rPr>
              <w:t>版本日期</w:t>
            </w:r>
          </w:p>
        </w:tc>
        <w:tc>
          <w:tcPr>
            <w:tcW w:w="2123" w:type="dxa"/>
            <w:vAlign w:val="top"/>
          </w:tcPr>
          <w:p w14:paraId="2E92EFCD">
            <w:pPr>
              <w:pStyle w:val="19"/>
              <w:spacing w:before="133" w:line="220" w:lineRule="auto"/>
              <w:ind w:left="654"/>
            </w:pPr>
            <w:r>
              <w:rPr>
                <w:spacing w:val="-2"/>
              </w:rPr>
              <w:t>版本说明</w:t>
            </w:r>
          </w:p>
        </w:tc>
        <w:tc>
          <w:tcPr>
            <w:tcW w:w="1701" w:type="dxa"/>
            <w:vAlign w:val="top"/>
          </w:tcPr>
          <w:p w14:paraId="54E5D743">
            <w:pPr>
              <w:pStyle w:val="19"/>
              <w:spacing w:before="134" w:line="221" w:lineRule="auto"/>
              <w:ind w:left="600"/>
            </w:pPr>
            <w:r>
              <w:rPr>
                <w:spacing w:val="-4"/>
              </w:rPr>
              <w:t>作</w:t>
            </w:r>
            <w:r>
              <w:rPr>
                <w:spacing w:val="10"/>
              </w:rPr>
              <w:t xml:space="preserve"> </w:t>
            </w:r>
            <w:r>
              <w:rPr>
                <w:spacing w:val="-4"/>
              </w:rPr>
              <w:t>者</w:t>
            </w:r>
          </w:p>
        </w:tc>
        <w:tc>
          <w:tcPr>
            <w:tcW w:w="1564" w:type="dxa"/>
            <w:vAlign w:val="top"/>
          </w:tcPr>
          <w:p w14:paraId="2241C08B">
            <w:pPr>
              <w:pStyle w:val="19"/>
              <w:spacing w:before="134" w:line="221" w:lineRule="auto"/>
              <w:ind w:left="592"/>
            </w:pPr>
            <w:r>
              <w:rPr>
                <w:spacing w:val="-5"/>
              </w:rPr>
              <w:t>审核</w:t>
            </w:r>
          </w:p>
        </w:tc>
      </w:tr>
      <w:tr w14:paraId="012C8D2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5" w:hRule="atLeast"/>
        </w:trPr>
        <w:tc>
          <w:tcPr>
            <w:tcW w:w="1705" w:type="dxa"/>
            <w:vAlign w:val="top"/>
          </w:tcPr>
          <w:p w14:paraId="1F69E059">
            <w:pPr>
              <w:pStyle w:val="19"/>
              <w:spacing w:before="132" w:line="220" w:lineRule="auto"/>
              <w:ind w:left="656"/>
              <w:rPr>
                <w:rFonts w:hint="eastAsia"/>
                <w:lang w:val="en-US" w:eastAsia="zh-CN"/>
              </w:rPr>
            </w:pPr>
            <w:r>
              <w:rPr>
                <w:rFonts w:hint="eastAsia"/>
                <w:lang w:val="en-US" w:eastAsia="zh-CN"/>
              </w:rPr>
              <w:t>V1.0</w:t>
            </w:r>
          </w:p>
        </w:tc>
        <w:tc>
          <w:tcPr>
            <w:tcW w:w="1560" w:type="dxa"/>
            <w:vAlign w:val="top"/>
          </w:tcPr>
          <w:p w14:paraId="5BF97A3A">
            <w:pPr>
              <w:pStyle w:val="19"/>
              <w:spacing w:before="132" w:line="220" w:lineRule="auto"/>
              <w:ind w:left="656"/>
              <w:rPr>
                <w:rFonts w:hint="eastAsia"/>
                <w:lang w:val="en-US" w:eastAsia="zh-CN"/>
              </w:rPr>
            </w:pPr>
            <w:r>
              <w:rPr>
                <w:rFonts w:hint="eastAsia"/>
                <w:lang w:val="en-US" w:eastAsia="zh-CN"/>
              </w:rPr>
              <w:t>2025-1-4</w:t>
            </w:r>
          </w:p>
        </w:tc>
        <w:tc>
          <w:tcPr>
            <w:tcW w:w="2123" w:type="dxa"/>
            <w:vAlign w:val="top"/>
          </w:tcPr>
          <w:p w14:paraId="071C8D57">
            <w:pPr>
              <w:pStyle w:val="19"/>
              <w:spacing w:before="132" w:line="220" w:lineRule="auto"/>
              <w:ind w:left="656"/>
              <w:rPr>
                <w:rFonts w:hint="eastAsia"/>
                <w:lang w:val="en-US" w:eastAsia="zh-CN"/>
              </w:rPr>
            </w:pPr>
            <w:r>
              <w:rPr>
                <w:rFonts w:hint="eastAsia"/>
                <w:lang w:val="en-US" w:eastAsia="zh-CN"/>
              </w:rPr>
              <w:t>发布版本</w:t>
            </w:r>
          </w:p>
        </w:tc>
        <w:tc>
          <w:tcPr>
            <w:tcW w:w="1701" w:type="dxa"/>
            <w:vAlign w:val="center"/>
          </w:tcPr>
          <w:p w14:paraId="6A1F23AB">
            <w:pPr>
              <w:pStyle w:val="19"/>
              <w:spacing w:before="132" w:line="220" w:lineRule="auto"/>
              <w:ind w:left="656"/>
            </w:pPr>
            <w:r>
              <w:rPr>
                <w:rFonts w:hint="eastAsia"/>
                <w:lang w:val="en-US" w:eastAsia="zh-CN"/>
              </w:rPr>
              <w:t>毛彦超</w:t>
            </w:r>
          </w:p>
        </w:tc>
        <w:tc>
          <w:tcPr>
            <w:tcW w:w="1564" w:type="dxa"/>
            <w:vAlign w:val="center"/>
          </w:tcPr>
          <w:p w14:paraId="0EC39575">
            <w:pPr>
              <w:pStyle w:val="19"/>
              <w:spacing w:before="132" w:line="220" w:lineRule="auto"/>
              <w:ind w:left="656"/>
            </w:pPr>
            <w:r>
              <w:rPr>
                <w:rFonts w:hint="eastAsia"/>
                <w:lang w:val="en-US" w:eastAsia="zh-CN"/>
              </w:rPr>
              <w:t>郭万洲</w:t>
            </w:r>
          </w:p>
        </w:tc>
      </w:tr>
      <w:tr w14:paraId="6572A76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8" w:hRule="atLeast"/>
        </w:trPr>
        <w:tc>
          <w:tcPr>
            <w:tcW w:w="1705" w:type="dxa"/>
            <w:vAlign w:val="top"/>
          </w:tcPr>
          <w:p w14:paraId="2118C8FF">
            <w:pPr>
              <w:rPr>
                <w:rFonts w:ascii="Arial"/>
                <w:sz w:val="21"/>
              </w:rPr>
            </w:pPr>
          </w:p>
        </w:tc>
        <w:tc>
          <w:tcPr>
            <w:tcW w:w="1560" w:type="dxa"/>
            <w:vAlign w:val="top"/>
          </w:tcPr>
          <w:p w14:paraId="4402263D">
            <w:pPr>
              <w:rPr>
                <w:rFonts w:ascii="Arial"/>
                <w:sz w:val="21"/>
              </w:rPr>
            </w:pPr>
          </w:p>
        </w:tc>
        <w:tc>
          <w:tcPr>
            <w:tcW w:w="2123" w:type="dxa"/>
            <w:vAlign w:val="top"/>
          </w:tcPr>
          <w:p w14:paraId="79CF26A7">
            <w:pPr>
              <w:rPr>
                <w:rFonts w:ascii="Arial"/>
                <w:sz w:val="21"/>
              </w:rPr>
            </w:pPr>
          </w:p>
        </w:tc>
        <w:tc>
          <w:tcPr>
            <w:tcW w:w="1701" w:type="dxa"/>
            <w:vAlign w:val="top"/>
          </w:tcPr>
          <w:p w14:paraId="21CD1766">
            <w:pPr>
              <w:rPr>
                <w:rFonts w:ascii="Arial"/>
                <w:sz w:val="21"/>
              </w:rPr>
            </w:pPr>
          </w:p>
        </w:tc>
        <w:tc>
          <w:tcPr>
            <w:tcW w:w="1564" w:type="dxa"/>
            <w:vAlign w:val="top"/>
          </w:tcPr>
          <w:p w14:paraId="32871B7D">
            <w:pPr>
              <w:rPr>
                <w:rFonts w:ascii="Arial"/>
                <w:sz w:val="21"/>
              </w:rPr>
            </w:pPr>
          </w:p>
        </w:tc>
      </w:tr>
      <w:tr w14:paraId="14D7334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705" w:type="dxa"/>
            <w:vAlign w:val="top"/>
          </w:tcPr>
          <w:p w14:paraId="1AE1AA75">
            <w:pPr>
              <w:rPr>
                <w:rFonts w:ascii="Arial"/>
                <w:sz w:val="21"/>
              </w:rPr>
            </w:pPr>
          </w:p>
        </w:tc>
        <w:tc>
          <w:tcPr>
            <w:tcW w:w="1560" w:type="dxa"/>
            <w:vAlign w:val="top"/>
          </w:tcPr>
          <w:p w14:paraId="5227F846">
            <w:pPr>
              <w:rPr>
                <w:rFonts w:ascii="Arial"/>
                <w:sz w:val="21"/>
              </w:rPr>
            </w:pPr>
          </w:p>
        </w:tc>
        <w:tc>
          <w:tcPr>
            <w:tcW w:w="2123" w:type="dxa"/>
            <w:vAlign w:val="top"/>
          </w:tcPr>
          <w:p w14:paraId="0C7F63B1">
            <w:pPr>
              <w:rPr>
                <w:rFonts w:ascii="Arial"/>
                <w:sz w:val="21"/>
              </w:rPr>
            </w:pPr>
          </w:p>
        </w:tc>
        <w:tc>
          <w:tcPr>
            <w:tcW w:w="1701" w:type="dxa"/>
            <w:vAlign w:val="top"/>
          </w:tcPr>
          <w:p w14:paraId="43680A72">
            <w:pPr>
              <w:rPr>
                <w:rFonts w:ascii="Arial"/>
                <w:sz w:val="21"/>
              </w:rPr>
            </w:pPr>
          </w:p>
        </w:tc>
        <w:tc>
          <w:tcPr>
            <w:tcW w:w="1564" w:type="dxa"/>
            <w:vAlign w:val="top"/>
          </w:tcPr>
          <w:p w14:paraId="20565E1E">
            <w:pPr>
              <w:rPr>
                <w:rFonts w:ascii="Arial"/>
                <w:sz w:val="21"/>
              </w:rPr>
            </w:pPr>
          </w:p>
        </w:tc>
      </w:tr>
      <w:tr w14:paraId="48F2C4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3" w:hRule="atLeast"/>
        </w:trPr>
        <w:tc>
          <w:tcPr>
            <w:tcW w:w="1705" w:type="dxa"/>
            <w:vAlign w:val="top"/>
          </w:tcPr>
          <w:p w14:paraId="2D8FF2D8">
            <w:pPr>
              <w:rPr>
                <w:rFonts w:ascii="Arial"/>
                <w:sz w:val="21"/>
              </w:rPr>
            </w:pPr>
          </w:p>
        </w:tc>
        <w:tc>
          <w:tcPr>
            <w:tcW w:w="1560" w:type="dxa"/>
            <w:vAlign w:val="top"/>
          </w:tcPr>
          <w:p w14:paraId="04C440AD">
            <w:pPr>
              <w:rPr>
                <w:rFonts w:ascii="Arial"/>
                <w:sz w:val="21"/>
              </w:rPr>
            </w:pPr>
          </w:p>
        </w:tc>
        <w:tc>
          <w:tcPr>
            <w:tcW w:w="2123" w:type="dxa"/>
            <w:vAlign w:val="top"/>
          </w:tcPr>
          <w:p w14:paraId="3A88DBA3">
            <w:pPr>
              <w:rPr>
                <w:rFonts w:ascii="Arial"/>
                <w:sz w:val="21"/>
              </w:rPr>
            </w:pPr>
          </w:p>
        </w:tc>
        <w:tc>
          <w:tcPr>
            <w:tcW w:w="1701" w:type="dxa"/>
            <w:vAlign w:val="top"/>
          </w:tcPr>
          <w:p w14:paraId="664A54B5">
            <w:pPr>
              <w:rPr>
                <w:rFonts w:ascii="Arial"/>
                <w:sz w:val="21"/>
              </w:rPr>
            </w:pPr>
          </w:p>
        </w:tc>
        <w:tc>
          <w:tcPr>
            <w:tcW w:w="1564" w:type="dxa"/>
            <w:vAlign w:val="top"/>
          </w:tcPr>
          <w:p w14:paraId="3CEDD6AF">
            <w:pPr>
              <w:rPr>
                <w:rFonts w:ascii="Arial"/>
                <w:sz w:val="21"/>
              </w:rPr>
            </w:pPr>
          </w:p>
        </w:tc>
      </w:tr>
    </w:tbl>
    <w:p w14:paraId="2F765020">
      <w:pPr>
        <w:pStyle w:val="11"/>
      </w:pPr>
    </w:p>
    <w:p w14:paraId="65AED54F">
      <w:pPr>
        <w:sectPr>
          <w:footerReference r:id="rId5" w:type="default"/>
          <w:pgSz w:w="11912" w:h="16841"/>
          <w:pgMar w:top="1431" w:right="1459" w:bottom="1714" w:left="1768" w:header="0" w:footer="1438" w:gutter="0"/>
          <w:cols w:space="720" w:num="1"/>
        </w:sectPr>
      </w:pPr>
    </w:p>
    <w:p w14:paraId="5B2ECD60">
      <w:pPr>
        <w:pStyle w:val="11"/>
        <w:spacing w:line="308" w:lineRule="auto"/>
      </w:pPr>
    </w:p>
    <w:p w14:paraId="10979765">
      <w:pPr>
        <w:pStyle w:val="11"/>
        <w:spacing w:line="309" w:lineRule="auto"/>
      </w:pPr>
    </w:p>
    <w:p w14:paraId="01E1E019">
      <w:pPr>
        <w:pStyle w:val="11"/>
        <w:spacing w:line="309" w:lineRule="auto"/>
      </w:pPr>
    </w:p>
    <w:sdt>
      <w:sdtPr>
        <w:rPr>
          <w:rFonts w:ascii="宋体" w:hAnsi="宋体" w:eastAsia="宋体" w:cs="Arial"/>
          <w:snapToGrid w:val="0"/>
          <w:color w:val="000000"/>
          <w:kern w:val="0"/>
          <w:sz w:val="21"/>
          <w:szCs w:val="21"/>
          <w:lang w:val="en-US" w:eastAsia="en-US" w:bidi="ar-SA"/>
        </w:rPr>
        <w:id w:val="147472755"/>
        <w15:color w:val="DBDBDB"/>
        <w:docPartObj>
          <w:docPartGallery w:val="Table of Contents"/>
          <w:docPartUnique/>
        </w:docPartObj>
      </w:sdtPr>
      <w:sdtEndPr>
        <w:rPr>
          <w:rFonts w:ascii="Times New Roman" w:hAnsi="Times New Roman" w:eastAsia="Times New Roman" w:cs="Times New Roman"/>
          <w:snapToGrid w:val="0"/>
          <w:color w:val="000000"/>
          <w:kern w:val="0"/>
          <w:sz w:val="24"/>
          <w:szCs w:val="24"/>
          <w:lang w:val="en-US" w:eastAsia="en-US" w:bidi="ar-SA"/>
        </w:rPr>
      </w:sdtEndPr>
      <w:sdtContent>
        <w:p w14:paraId="1370ACA1">
          <w:pPr>
            <w:spacing w:before="0" w:beforeLines="0" w:after="0" w:afterLines="0" w:line="240" w:lineRule="auto"/>
            <w:ind w:left="0" w:leftChars="0" w:right="0" w:rightChars="0" w:firstLine="0" w:firstLineChars="0"/>
            <w:jc w:val="center"/>
          </w:pPr>
          <w:r>
            <w:rPr>
              <w:rFonts w:ascii="宋体" w:hAnsi="宋体" w:eastAsia="宋体"/>
              <w:sz w:val="24"/>
              <w:szCs w:val="24"/>
            </w:rPr>
            <w:t>目录</w:t>
          </w:r>
        </w:p>
        <w:p w14:paraId="70F7BF4A">
          <w:pPr>
            <w:pStyle w:val="14"/>
            <w:tabs>
              <w:tab w:val="right" w:leader="dot" w:pos="8442"/>
            </w:tabs>
            <w:rPr>
              <w:rFonts w:hint="eastAsia" w:ascii="Microsoft JhengHei" w:hAnsi="Microsoft JhengHei" w:eastAsia="Microsoft JhengHei" w:cs="Microsoft JhengHei"/>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TOC \o "1-3" \h \u </w:instrText>
          </w:r>
          <w:r>
            <w:rPr>
              <w:rFonts w:ascii="Times New Roman" w:hAnsi="Times New Roman" w:eastAsia="Times New Roman" w:cs="Times New Roman"/>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_Toc20075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 公司组织架构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_Toc20075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B5B8C73">
          <w:pPr>
            <w:pStyle w:val="14"/>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_Toc1286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部门及职责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_Toc1286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CC79B27">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_Toc16881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 总经理职责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_Toc16881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18A4BB6">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_Toc2030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 副总经理职责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_Toc2030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9D53F81">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_Toc8937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 人力部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_Toc8937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301E120">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_Toc8593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 采购部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_Toc8593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6B566CF">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_Toc13185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 运维部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_Toc13185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9FDE352">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_Toc7652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2.5.1. 服务台</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_Toc7652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B519F85">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_Toc24659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2.5.2. 备件库</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_Toc24659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CEB3522">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_Toc11696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 xml:space="preserve">2.5.3. </w:t>
          </w:r>
          <w:r>
            <w:rPr>
              <w:rFonts w:hint="eastAsia" w:ascii="Microsoft JhengHei" w:hAnsi="Microsoft JhengHei" w:eastAsia="Microsoft JhengHei" w:cs="Microsoft JhengHei"/>
              <w:sz w:val="24"/>
              <w:szCs w:val="24"/>
              <w:lang w:val="en-US" w:eastAsia="zh-CN"/>
            </w:rPr>
            <w:t>知识库</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_Toc11696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B359577">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_Toc31566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 xml:space="preserve">2.6. </w:t>
          </w:r>
          <w:r>
            <w:rPr>
              <w:rFonts w:hint="eastAsia" w:ascii="Microsoft JhengHei" w:hAnsi="Microsoft JhengHei" w:eastAsia="Microsoft JhengHei" w:cs="Microsoft JhengHei"/>
              <w:bCs/>
              <w:spacing w:val="-3"/>
              <w:sz w:val="24"/>
              <w:szCs w:val="24"/>
            </w:rPr>
            <w:t>质量</w:t>
          </w:r>
          <w:r>
            <w:rPr>
              <w:rFonts w:hint="eastAsia" w:ascii="Microsoft JhengHei" w:hAnsi="Microsoft JhengHei" w:eastAsia="Microsoft JhengHei" w:cs="Microsoft JhengHei"/>
              <w:bCs/>
              <w:spacing w:val="-3"/>
              <w:sz w:val="24"/>
              <w:szCs w:val="24"/>
              <w:lang w:val="en-US" w:eastAsia="zh-CN"/>
            </w:rPr>
            <w:t>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_Toc31566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92135B7">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_Toc22084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2.7. 研发</w:t>
          </w:r>
          <w:r>
            <w:rPr>
              <w:rFonts w:hint="eastAsia" w:ascii="Microsoft JhengHei" w:hAnsi="Microsoft JhengHei" w:eastAsia="Microsoft JhengHei" w:cs="Microsoft JhengHei"/>
              <w:sz w:val="24"/>
              <w:szCs w:val="24"/>
              <w:lang w:val="en-US" w:eastAsia="zh-CN"/>
            </w:rPr>
            <w:t>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_Toc22084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9666E7A">
          <w:pPr>
            <w:pStyle w:val="15"/>
            <w:tabs>
              <w:tab w:val="right" w:leader="dot" w:pos="8442"/>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_Toc2843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2.8. 应急管理小组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_Toc2843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93ED88">
          <w:pPr>
            <w:spacing w:line="235" w:lineRule="auto"/>
            <w:rPr>
              <w:rFonts w:ascii="Times New Roman" w:hAnsi="Times New Roman" w:eastAsia="Times New Roman" w:cs="Times New Roman"/>
              <w:snapToGrid w:val="0"/>
              <w:color w:val="000000"/>
              <w:kern w:val="0"/>
              <w:sz w:val="24"/>
              <w:szCs w:val="24"/>
              <w:lang w:val="en-US" w:eastAsia="en-US" w:bidi="ar-SA"/>
            </w:rPr>
          </w:pPr>
          <w:r>
            <w:rPr>
              <w:rFonts w:ascii="Times New Roman" w:hAnsi="Times New Roman" w:eastAsia="Times New Roman" w:cs="Times New Roman"/>
              <w:szCs w:val="24"/>
            </w:rPr>
            <w:fldChar w:fldCharType="end"/>
          </w:r>
        </w:p>
      </w:sdtContent>
    </w:sdt>
    <w:p w14:paraId="65EC4AE8">
      <w:pPr>
        <w:spacing w:line="235" w:lineRule="auto"/>
        <w:rPr>
          <w:rFonts w:ascii="Times New Roman" w:hAnsi="Times New Roman" w:eastAsia="Times New Roman" w:cs="Times New Roman"/>
          <w:snapToGrid w:val="0"/>
          <w:color w:val="000000"/>
          <w:kern w:val="0"/>
          <w:sz w:val="24"/>
          <w:szCs w:val="24"/>
          <w:lang w:val="en-US" w:eastAsia="en-US" w:bidi="ar-SA"/>
        </w:rPr>
        <w:sectPr>
          <w:footerReference r:id="rId6" w:type="default"/>
          <w:pgSz w:w="11912" w:h="16841"/>
          <w:pgMar w:top="1431" w:right="1786" w:bottom="1714" w:left="1684" w:header="0" w:footer="1438" w:gutter="0"/>
          <w:cols w:space="720" w:num="1"/>
        </w:sectPr>
      </w:pPr>
    </w:p>
    <w:p w14:paraId="7AB77D69">
      <w:pPr>
        <w:pStyle w:val="20"/>
        <w:bidi w:val="0"/>
      </w:pPr>
      <w:bookmarkStart w:id="0" w:name="bookmark1"/>
      <w:bookmarkEnd w:id="0"/>
      <w:bookmarkStart w:id="1" w:name="bookmark13"/>
      <w:bookmarkEnd w:id="1"/>
      <w:bookmarkStart w:id="2" w:name="_Toc20075"/>
      <w:r>
        <w:t>公司组织架构</w:t>
      </w:r>
      <w:bookmarkEnd w:id="2"/>
    </w:p>
    <w:p w14:paraId="07E4A040">
      <w:pPr>
        <w:spacing w:before="184" w:line="219" w:lineRule="auto"/>
        <w:ind w:left="521"/>
        <w:rPr>
          <w:rFonts w:ascii="宋体" w:hAnsi="宋体" w:eastAsia="宋体" w:cs="宋体"/>
          <w:sz w:val="24"/>
          <w:szCs w:val="24"/>
        </w:rPr>
      </w:pPr>
      <w:r>
        <w:rPr>
          <w:rFonts w:hint="eastAsia" w:ascii="宋体" w:hAnsi="宋体" w:eastAsia="宋体" w:cs="宋体"/>
          <w:spacing w:val="-3"/>
          <w:sz w:val="24"/>
          <w:szCs w:val="24"/>
        </w:rPr>
        <w:t>万洲奇智(青岛)信息科技有限公司</w:t>
      </w:r>
      <w:r>
        <w:rPr>
          <w:rFonts w:ascii="宋体" w:hAnsi="宋体" w:eastAsia="宋体" w:cs="宋体"/>
          <w:spacing w:val="-3"/>
          <w:sz w:val="24"/>
          <w:szCs w:val="24"/>
        </w:rPr>
        <w:t>的相关组织部门包括：</w:t>
      </w:r>
    </w:p>
    <w:p w14:paraId="3E4C6427">
      <w:pPr>
        <w:spacing w:before="185" w:line="366" w:lineRule="auto"/>
        <w:ind w:left="42" w:right="301" w:firstLine="478"/>
        <w:rPr>
          <w:rFonts w:ascii="宋体" w:hAnsi="宋体" w:eastAsia="宋体" w:cs="宋体"/>
          <w:spacing w:val="-6"/>
          <w:sz w:val="24"/>
          <w:szCs w:val="24"/>
        </w:rPr>
      </w:pPr>
      <w:r>
        <w:rPr>
          <w:rFonts w:ascii="宋体" w:hAnsi="宋体" w:eastAsia="宋体" w:cs="宋体"/>
          <w:spacing w:val="-5"/>
          <w:sz w:val="24"/>
          <w:szCs w:val="24"/>
        </w:rPr>
        <w:t>应急管理小组、</w:t>
      </w:r>
      <w:r>
        <w:rPr>
          <w:rFonts w:hint="eastAsia" w:ascii="宋体" w:hAnsi="宋体" w:eastAsia="宋体" w:cs="宋体"/>
          <w:spacing w:val="-5"/>
          <w:sz w:val="24"/>
          <w:szCs w:val="24"/>
          <w:lang w:val="en-US" w:eastAsia="zh-CN"/>
        </w:rPr>
        <w:t>人力部</w:t>
      </w:r>
      <w:r>
        <w:rPr>
          <w:rFonts w:ascii="宋体" w:hAnsi="宋体" w:eastAsia="宋体" w:cs="宋体"/>
          <w:spacing w:val="-5"/>
          <w:sz w:val="24"/>
          <w:szCs w:val="24"/>
        </w:rPr>
        <w:t>、采购部</w:t>
      </w:r>
      <w:r>
        <w:rPr>
          <w:rFonts w:ascii="宋体" w:hAnsi="宋体" w:eastAsia="宋体" w:cs="宋体"/>
          <w:spacing w:val="-6"/>
          <w:sz w:val="24"/>
          <w:szCs w:val="24"/>
        </w:rPr>
        <w:t>运维部（下设服务台、备件库</w:t>
      </w:r>
      <w:r>
        <w:rPr>
          <w:rFonts w:hint="eastAsia" w:ascii="宋体" w:hAnsi="宋体" w:eastAsia="宋体" w:cs="宋体"/>
          <w:spacing w:val="-6"/>
          <w:sz w:val="24"/>
          <w:szCs w:val="24"/>
          <w:lang w:eastAsia="zh-CN"/>
        </w:rPr>
        <w:t>、</w:t>
      </w:r>
      <w:r>
        <w:rPr>
          <w:rFonts w:hint="eastAsia" w:ascii="宋体" w:hAnsi="宋体" w:eastAsia="宋体" w:cs="宋体"/>
          <w:spacing w:val="-6"/>
          <w:sz w:val="24"/>
          <w:szCs w:val="24"/>
          <w:lang w:val="en-US" w:eastAsia="zh-CN"/>
        </w:rPr>
        <w:t>知识库</w:t>
      </w:r>
      <w:r>
        <w:rPr>
          <w:rFonts w:ascii="宋体" w:hAnsi="宋体" w:eastAsia="宋体" w:cs="宋体"/>
          <w:spacing w:val="-6"/>
          <w:sz w:val="24"/>
          <w:szCs w:val="24"/>
        </w:rPr>
        <w:t>）、质量部，研发</w:t>
      </w:r>
      <w:r>
        <w:rPr>
          <w:rFonts w:hint="eastAsia" w:ascii="宋体" w:hAnsi="宋体" w:eastAsia="宋体" w:cs="宋体"/>
          <w:spacing w:val="-6"/>
          <w:sz w:val="24"/>
          <w:szCs w:val="24"/>
          <w:lang w:val="en-US" w:eastAsia="zh-CN"/>
        </w:rPr>
        <w:t>部</w:t>
      </w:r>
      <w:r>
        <w:rPr>
          <w:rFonts w:ascii="宋体" w:hAnsi="宋体" w:eastAsia="宋体" w:cs="宋体"/>
          <w:spacing w:val="-6"/>
          <w:sz w:val="24"/>
          <w:szCs w:val="24"/>
        </w:rPr>
        <w:t>。</w:t>
      </w:r>
    </w:p>
    <w:p w14:paraId="702AB872">
      <w:pPr>
        <w:spacing w:before="185" w:line="366" w:lineRule="auto"/>
        <w:ind w:left="42" w:right="301" w:firstLine="478"/>
        <w:rPr>
          <w:rFonts w:ascii="宋体" w:hAnsi="宋体" w:eastAsia="宋体" w:cs="宋体"/>
          <w:spacing w:val="-6"/>
          <w:sz w:val="24"/>
          <w:szCs w:val="24"/>
        </w:rPr>
      </w:pPr>
    </w:p>
    <w:p w14:paraId="779E8FE3">
      <w:pPr>
        <w:pStyle w:val="11"/>
        <w:spacing w:line="272" w:lineRule="auto"/>
      </w:pPr>
      <w:r>
        <w:drawing>
          <wp:inline distT="0" distB="0" distL="114300" distR="114300">
            <wp:extent cx="5304790" cy="2106295"/>
            <wp:effectExtent l="0" t="0" r="13970" b="1206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5304790" cy="2106295"/>
                    </a:xfrm>
                    <a:prstGeom prst="rect">
                      <a:avLst/>
                    </a:prstGeom>
                    <a:noFill/>
                    <a:ln>
                      <a:noFill/>
                    </a:ln>
                  </pic:spPr>
                </pic:pic>
              </a:graphicData>
            </a:graphic>
          </wp:inline>
        </w:drawing>
      </w:r>
    </w:p>
    <w:p w14:paraId="52079845">
      <w:pPr>
        <w:pStyle w:val="11"/>
        <w:spacing w:line="314" w:lineRule="auto"/>
      </w:pPr>
    </w:p>
    <w:p w14:paraId="3D86ABA0">
      <w:pPr>
        <w:pStyle w:val="11"/>
        <w:spacing w:line="314" w:lineRule="auto"/>
      </w:pPr>
    </w:p>
    <w:p w14:paraId="60E89582">
      <w:pPr>
        <w:pStyle w:val="20"/>
        <w:bidi w:val="0"/>
      </w:pPr>
      <w:bookmarkStart w:id="3" w:name="bookmark1"/>
      <w:bookmarkEnd w:id="3"/>
      <w:bookmarkStart w:id="4" w:name="_Toc1286"/>
      <w:r>
        <w:t>部门及职责</w:t>
      </w:r>
      <w:bookmarkEnd w:id="4"/>
    </w:p>
    <w:p w14:paraId="1497C7F9">
      <w:pPr>
        <w:pStyle w:val="21"/>
        <w:bidi w:val="0"/>
      </w:pPr>
      <w:bookmarkStart w:id="5" w:name="bookmark1"/>
      <w:bookmarkEnd w:id="5"/>
      <w:bookmarkStart w:id="6" w:name="_Toc16881"/>
      <w:r>
        <w:t>总经理职责</w:t>
      </w:r>
      <w:bookmarkEnd w:id="6"/>
    </w:p>
    <w:p w14:paraId="169B4C7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1)</w:t>
      </w:r>
      <w:r>
        <w:rPr>
          <w:rFonts w:ascii="宋体" w:hAnsi="宋体" w:eastAsia="宋体" w:cs="宋体"/>
          <w:spacing w:val="77"/>
          <w:sz w:val="24"/>
          <w:szCs w:val="24"/>
        </w:rPr>
        <w:t xml:space="preserve"> </w:t>
      </w:r>
      <w:r>
        <w:rPr>
          <w:rFonts w:ascii="宋体" w:hAnsi="宋体" w:eastAsia="宋体" w:cs="宋体"/>
          <w:spacing w:val="-1"/>
          <w:sz w:val="24"/>
          <w:szCs w:val="24"/>
        </w:rPr>
        <w:t>依据公司发展战略，制定和实施公司中长期的发展战略，提升公司信</w:t>
      </w:r>
      <w:r>
        <w:rPr>
          <w:rFonts w:ascii="宋体" w:hAnsi="宋体" w:eastAsia="宋体" w:cs="宋体"/>
          <w:spacing w:val="-4"/>
          <w:sz w:val="24"/>
          <w:szCs w:val="24"/>
        </w:rPr>
        <w:t>息技术的应用水平和竞争优势。</w:t>
      </w:r>
    </w:p>
    <w:p w14:paraId="641BF94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2)</w:t>
      </w:r>
      <w:r>
        <w:rPr>
          <w:rFonts w:ascii="宋体" w:hAnsi="宋体" w:eastAsia="宋体" w:cs="宋体"/>
          <w:spacing w:val="86"/>
          <w:sz w:val="24"/>
          <w:szCs w:val="24"/>
        </w:rPr>
        <w:t xml:space="preserve"> </w:t>
      </w:r>
      <w:r>
        <w:rPr>
          <w:rFonts w:ascii="宋体" w:hAnsi="宋体" w:eastAsia="宋体" w:cs="宋体"/>
          <w:spacing w:val="-2"/>
          <w:sz w:val="24"/>
          <w:szCs w:val="24"/>
        </w:rPr>
        <w:t>负责制订并落实公司各项规章制度、改</w:t>
      </w:r>
      <w:r>
        <w:rPr>
          <w:rFonts w:ascii="宋体" w:hAnsi="宋体" w:eastAsia="宋体" w:cs="宋体"/>
          <w:spacing w:val="-3"/>
          <w:sz w:val="24"/>
          <w:szCs w:val="24"/>
        </w:rPr>
        <w:t>革方案、改革措施。</w:t>
      </w:r>
    </w:p>
    <w:p w14:paraId="396B1CF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3)</w:t>
      </w:r>
      <w:r>
        <w:rPr>
          <w:rFonts w:ascii="宋体" w:hAnsi="宋体" w:eastAsia="宋体" w:cs="宋体"/>
          <w:spacing w:val="87"/>
          <w:sz w:val="24"/>
          <w:szCs w:val="24"/>
        </w:rPr>
        <w:t xml:space="preserve"> </w:t>
      </w:r>
      <w:r>
        <w:rPr>
          <w:rFonts w:ascii="宋体" w:hAnsi="宋体" w:eastAsia="宋体" w:cs="宋体"/>
          <w:spacing w:val="-1"/>
          <w:sz w:val="24"/>
          <w:szCs w:val="24"/>
        </w:rPr>
        <w:t>负责公司IT系统的整体规划、设计、组建、实施，通过必要的系统升</w:t>
      </w:r>
      <w:r>
        <w:rPr>
          <w:rFonts w:ascii="宋体" w:hAnsi="宋体" w:eastAsia="宋体" w:cs="宋体"/>
          <w:sz w:val="24"/>
          <w:szCs w:val="24"/>
        </w:rPr>
        <w:t>级、新技术引进或整合等手段，组建实施及维护公司当前的系</w:t>
      </w:r>
      <w:r>
        <w:rPr>
          <w:rFonts w:ascii="宋体" w:hAnsi="宋体" w:eastAsia="宋体" w:cs="宋体"/>
          <w:spacing w:val="-1"/>
          <w:sz w:val="24"/>
          <w:szCs w:val="24"/>
        </w:rPr>
        <w:t>统，并</w:t>
      </w:r>
      <w:r>
        <w:rPr>
          <w:rFonts w:ascii="宋体" w:hAnsi="宋体" w:eastAsia="宋体" w:cs="宋体"/>
          <w:spacing w:val="-3"/>
          <w:sz w:val="24"/>
          <w:szCs w:val="24"/>
        </w:rPr>
        <w:t>保持公司系统对业务的有效支持。</w:t>
      </w:r>
    </w:p>
    <w:p w14:paraId="181E7B5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4)</w:t>
      </w:r>
      <w:r>
        <w:rPr>
          <w:rFonts w:ascii="宋体" w:hAnsi="宋体" w:eastAsia="宋体" w:cs="宋体"/>
          <w:spacing w:val="82"/>
          <w:sz w:val="24"/>
          <w:szCs w:val="24"/>
        </w:rPr>
        <w:t xml:space="preserve"> </w:t>
      </w:r>
      <w:r>
        <w:rPr>
          <w:rFonts w:ascii="宋体" w:hAnsi="宋体" w:eastAsia="宋体" w:cs="宋体"/>
          <w:spacing w:val="-2"/>
          <w:sz w:val="24"/>
          <w:szCs w:val="24"/>
        </w:rPr>
        <w:t>主导企业文化建设的基本方向，提出公司组织机构设置方案。</w:t>
      </w:r>
    </w:p>
    <w:p w14:paraId="28FE1E1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pPr>
      <w:r>
        <w:rPr>
          <w:rFonts w:ascii="宋体" w:hAnsi="宋体" w:eastAsia="宋体" w:cs="宋体"/>
          <w:spacing w:val="-3"/>
          <w:sz w:val="24"/>
          <w:szCs w:val="24"/>
        </w:rPr>
        <w:t>5)</w:t>
      </w:r>
      <w:r>
        <w:rPr>
          <w:rFonts w:ascii="宋体" w:hAnsi="宋体" w:eastAsia="宋体" w:cs="宋体"/>
          <w:spacing w:val="102"/>
          <w:sz w:val="24"/>
          <w:szCs w:val="24"/>
        </w:rPr>
        <w:t xml:space="preserve"> </w:t>
      </w:r>
      <w:r>
        <w:rPr>
          <w:rFonts w:ascii="宋体" w:hAnsi="宋体" w:eastAsia="宋体" w:cs="宋体"/>
          <w:spacing w:val="-3"/>
          <w:sz w:val="24"/>
          <w:szCs w:val="24"/>
        </w:rPr>
        <w:t>负责公司内部各部门的组织管理，实施在职能权责内的人力资源管理，</w:t>
      </w:r>
      <w:r>
        <w:rPr>
          <w:rFonts w:ascii="宋体" w:hAnsi="宋体" w:eastAsia="宋体" w:cs="宋体"/>
          <w:spacing w:val="-2"/>
          <w:sz w:val="24"/>
          <w:szCs w:val="24"/>
        </w:rPr>
        <w:t>对公司的经济效益负责，拥有经营指挥权和各种资源分配权。</w:t>
      </w:r>
    </w:p>
    <w:p w14:paraId="50316746">
      <w:pPr>
        <w:pStyle w:val="21"/>
        <w:bidi w:val="0"/>
      </w:pPr>
      <w:bookmarkStart w:id="7" w:name="bookmark14"/>
      <w:bookmarkEnd w:id="7"/>
      <w:bookmarkStart w:id="8" w:name="_Toc2030"/>
      <w:r>
        <w:t>副总经理职责</w:t>
      </w:r>
      <w:bookmarkEnd w:id="8"/>
    </w:p>
    <w:p w14:paraId="263691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1) 负责项目实施和运维工作，组织项目实施计划、维护计划，项目实施团队建立和管理，项目实施进度和质量的监督和考核，项目执行过程中主要问题的协调和解决，维护体系的建立和执行；</w:t>
      </w:r>
    </w:p>
    <w:p w14:paraId="0A94B5F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2) 负责分管部门的业务管理、工作执行、目标达成和考核、组织团队规划协调和建设及分管部门定期汇报；</w:t>
      </w:r>
    </w:p>
    <w:p w14:paraId="5115507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3) 负责内部项目型工作的规范体系建设，项目内部开展的协调沟通工作，以及项目规范管理工作的组织实施和检查、考核工作；监督管理，监管督促项目实施维护工作的贯彻与执行；客户服务，提供客户服务渠道协调相关人员解决问题；</w:t>
      </w:r>
    </w:p>
    <w:p w14:paraId="6ABBB9A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4) 及时掌握项目实施、运维进展和情况，定期向总经理汇报并通报其他相关部门，提出建议和意见；</w:t>
      </w:r>
    </w:p>
    <w:p w14:paraId="63D5DCD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5) 负责编制项目费用预算、分管部门预算，经总经理审批后监督执行。</w:t>
      </w:r>
    </w:p>
    <w:p w14:paraId="574C1D2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6)负责统筹规划应急相关事宜,指导运维服务部和质量部更好的完成应急策划和应急演练。</w:t>
      </w:r>
    </w:p>
    <w:p w14:paraId="433025D0">
      <w:pPr>
        <w:pStyle w:val="21"/>
        <w:bidi w:val="0"/>
      </w:pPr>
      <w:bookmarkStart w:id="9" w:name="_Toc8937"/>
      <w:r>
        <w:t>人力部</w:t>
      </w:r>
      <w:bookmarkEnd w:id="9"/>
    </w:p>
    <w:p w14:paraId="6750F64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依据公司规划和运维服务能力管理人员要求，负责编制公司各项人力资源管理制度，构建、完善公司的人力资源管理体系，确保运维技术人员具备应有的运维服务研发、实施、支持等能力。具体包括：</w:t>
      </w:r>
    </w:p>
    <w:p w14:paraId="20CC716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1) 负责推进公司年度整体人力资源工作计划的制定，指导、监督各部门开展日常推进；</w:t>
      </w:r>
    </w:p>
    <w:p w14:paraId="7C901C3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2) 根据公司年度人员规划，拓展招聘渠道，规范招聘流程，开展人员招聘</w:t>
      </w:r>
    </w:p>
    <w:p w14:paraId="0824C4E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3) 参与公司组织结构调整，完善各部门职能，开展工作分析，制定工作流程，编制职位说明书；</w:t>
      </w:r>
    </w:p>
    <w:p w14:paraId="6FC240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bookmarkStart w:id="10" w:name="bookmark15"/>
      <w:bookmarkEnd w:id="10"/>
      <w:r>
        <w:rPr>
          <w:rFonts w:ascii="宋体" w:hAnsi="宋体" w:eastAsia="宋体" w:cs="宋体"/>
          <w:spacing w:val="-2"/>
          <w:sz w:val="24"/>
          <w:szCs w:val="24"/>
        </w:rPr>
        <w:t>4) 负责制定公司的人才培养与储备制度，并根据年度人才策略开展人才培养系列活动；</w:t>
      </w:r>
    </w:p>
    <w:p w14:paraId="2119E93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5) 负责编制年度员工分配预算，根据总额控制的原则对各部门的员工分配进行控制。</w:t>
      </w:r>
    </w:p>
    <w:p w14:paraId="7EB5737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6) 负责构建员工福利体系，开展员工社会保险、住房公积金的缴纳统筹，办理员工的补充医疗保险和员工年度体检等；</w:t>
      </w:r>
    </w:p>
    <w:p w14:paraId="47ED09A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7) 负责制定公司的绩效管理体系，开展员工绩效考核，并参与公司对各事业部、各部门的年度绩效考核；</w:t>
      </w:r>
    </w:p>
    <w:p w14:paraId="7A1CC72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8) 负责起草公司劳动合同文本，规范劳动合同管理流程，并根据实际情况开展劳动用工形式的规范管理。</w:t>
      </w:r>
    </w:p>
    <w:p w14:paraId="3990C4D6">
      <w:pPr>
        <w:pStyle w:val="21"/>
        <w:bidi w:val="0"/>
      </w:pPr>
      <w:bookmarkStart w:id="11" w:name="bookmark16"/>
      <w:bookmarkEnd w:id="11"/>
      <w:bookmarkStart w:id="12" w:name="_Toc8593"/>
      <w:r>
        <w:t>采购部</w:t>
      </w:r>
      <w:bookmarkEnd w:id="12"/>
    </w:p>
    <w:p w14:paraId="3575A95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1) 负责制订物资采购计划。</w:t>
      </w:r>
    </w:p>
    <w:p w14:paraId="790A557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2) 保障质量目标的经济性，降低产品和运输费用。</w:t>
      </w:r>
    </w:p>
    <w:p w14:paraId="6E3AD25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3) 组织制定与本部门核心职能相关的管理制度及工作流程；</w:t>
      </w:r>
    </w:p>
    <w:p w14:paraId="0600AFC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4) 负责对备品备件部门提交的采购申请进行采购；</w:t>
      </w:r>
    </w:p>
    <w:p w14:paraId="64729EF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5) 负责对运维服务部所需日常物资进行采购；</w:t>
      </w:r>
    </w:p>
    <w:p w14:paraId="7C9D65F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6) 管理采购合同及供应商文件资料，建立供应商信息资源库；</w:t>
      </w:r>
    </w:p>
    <w:p w14:paraId="57B5438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7) 制作、编写各类采购指标的统计报表；</w:t>
      </w:r>
    </w:p>
    <w:p w14:paraId="51A6107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8) 完成领导交办的其他工作。</w:t>
      </w:r>
    </w:p>
    <w:p w14:paraId="5209469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9) 对供应商进行评估考核。</w:t>
      </w:r>
    </w:p>
    <w:p w14:paraId="1575A0AD">
      <w:pPr>
        <w:rPr>
          <w:rFonts w:ascii="宋体" w:hAnsi="宋体" w:eastAsia="宋体" w:cs="宋体"/>
          <w:spacing w:val="-6"/>
          <w:sz w:val="24"/>
          <w:szCs w:val="24"/>
        </w:rPr>
      </w:pPr>
      <w:r>
        <w:rPr>
          <w:rFonts w:ascii="宋体" w:hAnsi="宋体" w:eastAsia="宋体" w:cs="宋体"/>
          <w:spacing w:val="-6"/>
          <w:sz w:val="24"/>
          <w:szCs w:val="24"/>
        </w:rPr>
        <w:br w:type="page"/>
      </w:r>
    </w:p>
    <w:p w14:paraId="5F96D4E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56" w:firstLineChars="200"/>
        <w:textAlignment w:val="baseline"/>
        <w:rPr>
          <w:rFonts w:ascii="宋体" w:hAnsi="宋体" w:eastAsia="宋体" w:cs="宋体"/>
          <w:spacing w:val="-6"/>
          <w:sz w:val="24"/>
          <w:szCs w:val="24"/>
        </w:rPr>
      </w:pPr>
    </w:p>
    <w:p w14:paraId="340FACB4">
      <w:pPr>
        <w:pStyle w:val="21"/>
        <w:bidi w:val="0"/>
      </w:pPr>
      <w:bookmarkStart w:id="13" w:name="bookmark17"/>
      <w:bookmarkEnd w:id="13"/>
      <w:bookmarkStart w:id="14" w:name="_Toc13185"/>
      <w:r>
        <w:t>运维部</w:t>
      </w:r>
      <w:bookmarkEnd w:id="14"/>
    </w:p>
    <w:p w14:paraId="07C7DB1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负责公司各项目全生命周期管理,从项目立项到项目验收收款的全部环节的追踪、反馈、提醒等工作；负责各项目组过程的管控，确保各项目组具备公司要求的服务管理能力，确保运维服务管理过程在各项目组得到正确实施并发挥其效能，管控过程包括服务级别管理、服务报告管理、事件管理、问题管理、配置管理、变更管理、发布管理、信息安全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容量管理、过程框架设计管理、服务可用性和连续性管理</w:t>
      </w:r>
      <w:r>
        <w:rPr>
          <w:rFonts w:ascii="宋体" w:hAnsi="宋体" w:eastAsia="宋体" w:cs="宋体"/>
          <w:sz w:val="24"/>
          <w:szCs w:val="24"/>
        </w:rPr>
        <w:t>等过程。为公司各级管理者提供生产经营数据为各级管理者的各项决策提供基础数据支撑；提升公司内部管理的规范性和运行效率。</w:t>
      </w:r>
    </w:p>
    <w:p w14:paraId="695A20D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负责公司服务台、备件库以及知识库的管理。</w:t>
      </w:r>
    </w:p>
    <w:p w14:paraId="35E83D1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项目软硬件运维项目的实施工作、售后工作；</w:t>
      </w:r>
    </w:p>
    <w:p w14:paraId="54E9E8D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公司内部数据中心、服务器、信息平台等系统运维工作；</w:t>
      </w:r>
    </w:p>
    <w:p w14:paraId="0FAD6CF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项目相关技术文档等管理工作；</w:t>
      </w:r>
    </w:p>
    <w:p w14:paraId="4126BC1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搭建并管理运维工具需要的软硬件环境，并按质量管理体系，对项目实施过程资料进行规范的配置管理；</w:t>
      </w:r>
    </w:p>
    <w:p w14:paraId="3A7EA2F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落实并不断充实、完善公司运维管理体系的具体内容，配合</w:t>
      </w:r>
      <w:r>
        <w:rPr>
          <w:rFonts w:hint="eastAsia" w:ascii="宋体" w:hAnsi="宋体" w:eastAsia="宋体" w:cs="宋体"/>
          <w:sz w:val="24"/>
          <w:szCs w:val="24"/>
          <w:lang w:eastAsia="zh-CN"/>
        </w:rPr>
        <w:t>研发部</w:t>
      </w:r>
      <w:r>
        <w:rPr>
          <w:rFonts w:ascii="宋体" w:hAnsi="宋体" w:eastAsia="宋体" w:cs="宋体"/>
          <w:sz w:val="24"/>
          <w:szCs w:val="24"/>
        </w:rPr>
        <w:t>优化运维工具或系统的技术架构、系统架构；</w:t>
      </w:r>
    </w:p>
    <w:p w14:paraId="3481208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7) 负责组织制定及维护公司运维服务目录。</w:t>
      </w:r>
    </w:p>
    <w:p w14:paraId="3AC8E22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8) 是为客户提供运维交付的主体。</w:t>
      </w:r>
    </w:p>
    <w:p w14:paraId="56109F1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9) 服务过程中应急事务的处理。</w:t>
      </w:r>
    </w:p>
    <w:p w14:paraId="45A63AC4">
      <w:pPr>
        <w:pStyle w:val="22"/>
        <w:bidi w:val="0"/>
      </w:pPr>
      <w:bookmarkStart w:id="15" w:name="_Toc7652"/>
      <w:r>
        <w:t>服务台</w:t>
      </w:r>
      <w:bookmarkEnd w:id="15"/>
    </w:p>
    <w:p w14:paraId="61511C6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负责公司服务台的运行与维护，接受项目组、客户、运维人员的运行维护服务请求，并形成相应请求记录，及时跟踪服务请求的处理进展。同时开展客户满意度调查，客户回访，客户投诉等，同时负责对服务台服务流程的调研与反馈。</w:t>
      </w:r>
    </w:p>
    <w:p w14:paraId="28DF0CC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bookmarkStart w:id="16" w:name="bookmark18"/>
      <w:bookmarkEnd w:id="16"/>
      <w:r>
        <w:rPr>
          <w:rFonts w:ascii="宋体" w:hAnsi="宋体" w:eastAsia="宋体" w:cs="宋体"/>
          <w:sz w:val="24"/>
          <w:szCs w:val="24"/>
        </w:rPr>
        <w:t>1) 持续优化运维服务台管理制度，开展对服务台人员的培训工作与考核；</w:t>
      </w:r>
    </w:p>
    <w:p w14:paraId="24923BA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负责服务台的运作，使用有效手段和方法受理需方的运行维护服务请求，及时跟踪服务请求的处理进展；</w:t>
      </w:r>
    </w:p>
    <w:p w14:paraId="1B956D5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负责处理用户服务突发性公众事件、参与用户反馈意见的分析和处理；</w:t>
      </w:r>
    </w:p>
    <w:p w14:paraId="321576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配合</w:t>
      </w:r>
      <w:r>
        <w:rPr>
          <w:rFonts w:hint="eastAsia" w:ascii="宋体" w:hAnsi="宋体" w:eastAsia="宋体" w:cs="宋体"/>
          <w:sz w:val="24"/>
          <w:szCs w:val="24"/>
          <w:lang w:eastAsia="zh-CN"/>
        </w:rPr>
        <w:t>质量部</w:t>
      </w:r>
      <w:r>
        <w:rPr>
          <w:rFonts w:ascii="宋体" w:hAnsi="宋体" w:eastAsia="宋体" w:cs="宋体"/>
          <w:sz w:val="24"/>
          <w:szCs w:val="24"/>
        </w:rPr>
        <w:t>负责顾客满意度信息的收集，为改进服务质量提供依据；</w:t>
      </w:r>
    </w:p>
    <w:p w14:paraId="31075A3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负责日常事件和问题的录入工作；</w:t>
      </w:r>
    </w:p>
    <w:p w14:paraId="295315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负责将现场反馈的问题进行分类指派相应的人员进行处理；</w:t>
      </w:r>
    </w:p>
    <w:p w14:paraId="553B849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7) 负责用户的服务请求，解答用户的疑问，提供客户咨询和建议；</w:t>
      </w:r>
    </w:p>
    <w:p w14:paraId="464A5E3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8) 负责故障处理过程中对约定服务级别进行预警和告警；</w:t>
      </w:r>
    </w:p>
    <w:p w14:paraId="67260475">
      <w:pPr>
        <w:pStyle w:val="22"/>
        <w:bidi w:val="0"/>
      </w:pPr>
      <w:bookmarkStart w:id="17" w:name="_Toc24659"/>
      <w:r>
        <w:t>备件库</w:t>
      </w:r>
      <w:bookmarkEnd w:id="17"/>
    </w:p>
    <w:p w14:paraId="5C74C97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负责组织制定备品备件的管理实施细则及备品备件配置标准；</w:t>
      </w:r>
    </w:p>
    <w:p w14:paraId="5C22173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根据运维服务部提交备品备件更换申请，做备件的准备及出库工作；</w:t>
      </w:r>
    </w:p>
    <w:p w14:paraId="677F7B2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制定备品备件库存管理计划，对紧缺物资进行统计、汇总， 向采购部提交申请；</w:t>
      </w:r>
    </w:p>
    <w:p w14:paraId="6905C67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对采购部所采物资进行入库登记、物品归类整理，并负责对运维服务部备品的信息管理，发布公司备品备件信息。</w:t>
      </w:r>
    </w:p>
    <w:p w14:paraId="1D31196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对库存物品定期进行盘点，组织技术人员对备品备件进行检测。</w:t>
      </w:r>
    </w:p>
    <w:p w14:paraId="789999F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备品库根据出库数量，库存变化，应急事件等发生频次进行统计分析并提交报告。</w:t>
      </w:r>
    </w:p>
    <w:p w14:paraId="7E15BBB4">
      <w:pPr>
        <w:pStyle w:val="22"/>
        <w:bidi w:val="0"/>
      </w:pPr>
      <w:bookmarkStart w:id="18" w:name="_Toc11696"/>
      <w:r>
        <w:rPr>
          <w:rFonts w:hint="eastAsia"/>
          <w:lang w:val="en-US" w:eastAsia="zh-CN"/>
        </w:rPr>
        <w:t>知识库</w:t>
      </w:r>
      <w:bookmarkEnd w:id="18"/>
    </w:p>
    <w:p w14:paraId="59CACD1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ascii="宋体" w:hAnsi="宋体" w:eastAsia="宋体" w:cs="宋体"/>
          <w:sz w:val="24"/>
          <w:szCs w:val="24"/>
        </w:rPr>
        <w:t>1)</w:t>
      </w:r>
      <w:r>
        <w:rPr>
          <w:rFonts w:hint="eastAsia" w:ascii="宋体" w:hAnsi="宋体" w:eastAsia="宋体" w:cs="宋体"/>
          <w:sz w:val="24"/>
          <w:szCs w:val="24"/>
          <w:lang w:val="en-US" w:eastAsia="zh-CN"/>
        </w:rPr>
        <w:t>对知识收集、分析、生成、提交</w:t>
      </w:r>
    </w:p>
    <w:p w14:paraId="4E07A41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ascii="宋体" w:hAnsi="宋体" w:eastAsia="宋体" w:cs="宋体"/>
          <w:sz w:val="24"/>
          <w:szCs w:val="24"/>
        </w:rPr>
        <w:t>)</w:t>
      </w:r>
      <w:r>
        <w:rPr>
          <w:rFonts w:hint="eastAsia" w:ascii="宋体" w:hAnsi="宋体" w:eastAsia="宋体" w:cs="宋体"/>
          <w:sz w:val="24"/>
          <w:szCs w:val="24"/>
          <w:lang w:val="en-US" w:eastAsia="zh-CN"/>
        </w:rPr>
        <w:t>对知识管理流程提出改进、优化建议</w:t>
      </w:r>
    </w:p>
    <w:p w14:paraId="601F86B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ascii="宋体" w:hAnsi="宋体" w:eastAsia="宋体" w:cs="宋体"/>
          <w:sz w:val="24"/>
          <w:szCs w:val="24"/>
        </w:rPr>
        <w:t>)</w:t>
      </w:r>
      <w:r>
        <w:rPr>
          <w:rFonts w:hint="eastAsia" w:ascii="宋体" w:hAnsi="宋体" w:eastAsia="宋体" w:cs="宋体"/>
          <w:sz w:val="24"/>
          <w:szCs w:val="24"/>
          <w:lang w:val="en-US" w:eastAsia="zh-CN"/>
        </w:rPr>
        <w:t>回顾整理知识库中的知识；负责知识的汇总及分类整理</w:t>
      </w:r>
    </w:p>
    <w:p w14:paraId="426BAFA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ascii="宋体" w:hAnsi="宋体" w:eastAsia="宋体" w:cs="宋体"/>
          <w:sz w:val="24"/>
          <w:szCs w:val="24"/>
        </w:rPr>
        <w:t>)</w:t>
      </w:r>
      <w:r>
        <w:rPr>
          <w:rFonts w:hint="eastAsia" w:ascii="宋体" w:hAnsi="宋体" w:eastAsia="宋体" w:cs="宋体"/>
          <w:sz w:val="24"/>
          <w:szCs w:val="24"/>
          <w:lang w:val="en-US" w:eastAsia="zh-CN"/>
        </w:rPr>
        <w:t>对知识进行审核；确保知识可用于实际维护中，不会出现破坏性副作用。</w:t>
      </w:r>
    </w:p>
    <w:p w14:paraId="0E5B170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ascii="宋体" w:hAnsi="宋体" w:eastAsia="宋体" w:cs="宋体"/>
          <w:sz w:val="24"/>
          <w:szCs w:val="24"/>
        </w:rPr>
        <w:t>)</w:t>
      </w:r>
      <w:r>
        <w:rPr>
          <w:rFonts w:hint="eastAsia" w:ascii="宋体" w:hAnsi="宋体" w:eastAsia="宋体" w:cs="宋体"/>
          <w:sz w:val="24"/>
          <w:szCs w:val="24"/>
          <w:lang w:val="en-US" w:eastAsia="zh-CN"/>
        </w:rPr>
        <w:t>监督知识质量、深度，包括知识信息的更新，加强知识生成，产生新的知识，促进知识共享的过程。</w:t>
      </w:r>
    </w:p>
    <w:p w14:paraId="178E815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14:paraId="021111AB">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rPr>
          <w:rFonts w:hint="eastAsia" w:ascii="宋体" w:hAnsi="宋体" w:eastAsia="宋体" w:cs="宋体"/>
          <w:sz w:val="24"/>
          <w:szCs w:val="24"/>
          <w:lang w:val="en-US" w:eastAsia="zh-CN"/>
        </w:rPr>
      </w:pPr>
    </w:p>
    <w:p w14:paraId="65D6C57C">
      <w:pPr>
        <w:pStyle w:val="21"/>
        <w:bidi w:val="0"/>
      </w:pPr>
      <w:bookmarkStart w:id="19" w:name="_Toc31566"/>
      <w:r>
        <w:rPr>
          <w:rFonts w:ascii="Microsoft JhengHei" w:hAnsi="Microsoft JhengHei" w:eastAsia="Microsoft JhengHei" w:cs="Microsoft JhengHei"/>
          <w:b/>
          <w:bCs/>
          <w:spacing w:val="-3"/>
          <w:sz w:val="30"/>
          <w:szCs w:val="30"/>
        </w:rPr>
        <w:t>质量</w:t>
      </w:r>
      <w:r>
        <w:rPr>
          <w:rFonts w:hint="eastAsia" w:ascii="Microsoft JhengHei" w:hAnsi="Microsoft JhengHei" w:eastAsia="Microsoft JhengHei" w:cs="Microsoft JhengHei"/>
          <w:b/>
          <w:bCs/>
          <w:spacing w:val="-3"/>
          <w:sz w:val="30"/>
          <w:szCs w:val="30"/>
          <w:lang w:val="en-US" w:eastAsia="zh-CN"/>
        </w:rPr>
        <w:t>部</w:t>
      </w:r>
      <w:bookmarkEnd w:id="19"/>
      <w:bookmarkStart w:id="22" w:name="_GoBack"/>
      <w:bookmarkEnd w:id="22"/>
    </w:p>
    <w:p w14:paraId="174508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从满足公司业务需求和运维服务能力管理要求出发，通过制定质量服务政策，设定质量服务目标，制定质量管理计划，协调资源、落实人员角色和职责，管理风险和持续改进等方法，领导和开展各项服务能力管理活动。</w:t>
      </w:r>
    </w:p>
    <w:p w14:paraId="58E5B83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 xml:space="preserve">1) </w:t>
      </w:r>
      <w:r>
        <w:rPr>
          <w:rFonts w:hint="eastAsia" w:ascii="宋体" w:hAnsi="宋体" w:eastAsia="宋体" w:cs="宋体"/>
          <w:sz w:val="24"/>
          <w:szCs w:val="24"/>
          <w:lang w:eastAsia="zh-CN"/>
        </w:rPr>
        <w:t>质量部</w:t>
      </w:r>
      <w:r>
        <w:rPr>
          <w:rFonts w:ascii="宋体" w:hAnsi="宋体" w:eastAsia="宋体" w:cs="宋体"/>
          <w:sz w:val="24"/>
          <w:szCs w:val="24"/>
        </w:rPr>
        <w:t>负责组织对运维服务能力管理体系（包括流程）的检查回顾，落实相应的改进工作，提高公司服务能力管理的有效性。</w:t>
      </w:r>
    </w:p>
    <w:p w14:paraId="714D661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负责定期对公司运维服务管理体系进行内部评审，对内审中发现的问题进行跟踪记录，负责项目改进措施的监督及检查。</w:t>
      </w:r>
    </w:p>
    <w:p w14:paraId="49F6BE4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负责管理评审工作的开展，并出具相关的计划以及报告。</w:t>
      </w:r>
    </w:p>
    <w:p w14:paraId="6CC58DB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负责组织级客户满意度的调查，投诉。</w:t>
      </w:r>
    </w:p>
    <w:p w14:paraId="4B4FCB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负责公司资质的管理和维护，并作为牵头部门负责相关资质的申报、年审、中期调查等相关事宜，确保公司业务的顺利开展。</w:t>
      </w:r>
    </w:p>
    <w:p w14:paraId="0EDF574E">
      <w:pPr>
        <w:pStyle w:val="21"/>
        <w:bidi w:val="0"/>
      </w:pPr>
      <w:bookmarkStart w:id="20" w:name="_Toc22084"/>
      <w:r>
        <w:t>研发</w:t>
      </w:r>
      <w:r>
        <w:rPr>
          <w:rFonts w:hint="eastAsia"/>
          <w:lang w:val="en-US" w:eastAsia="zh-CN"/>
        </w:rPr>
        <w:t>部</w:t>
      </w:r>
      <w:bookmarkEnd w:id="20"/>
    </w:p>
    <w:p w14:paraId="62EFFF6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hint="eastAsia" w:ascii="宋体" w:hAnsi="宋体" w:eastAsia="宋体" w:cs="宋体"/>
          <w:sz w:val="24"/>
          <w:szCs w:val="24"/>
          <w:lang w:eastAsia="zh-CN"/>
        </w:rPr>
        <w:t>研发部</w:t>
      </w:r>
      <w:r>
        <w:rPr>
          <w:rFonts w:ascii="宋体" w:hAnsi="宋体" w:eastAsia="宋体" w:cs="宋体"/>
          <w:sz w:val="24"/>
          <w:szCs w:val="24"/>
        </w:rPr>
        <w:t>根据业务和市场分析，根据运维服务能力管理要求，制定研发规划，包括新技术和前沿技术的应用、技术储备等。同时，</w:t>
      </w:r>
      <w:r>
        <w:rPr>
          <w:rFonts w:hint="eastAsia" w:ascii="宋体" w:hAnsi="宋体" w:eastAsia="宋体" w:cs="宋体"/>
          <w:sz w:val="24"/>
          <w:szCs w:val="24"/>
          <w:lang w:eastAsia="zh-CN"/>
        </w:rPr>
        <w:t>研发部</w:t>
      </w:r>
      <w:r>
        <w:rPr>
          <w:rFonts w:ascii="宋体" w:hAnsi="宋体" w:eastAsia="宋体" w:cs="宋体"/>
          <w:sz w:val="24"/>
          <w:szCs w:val="24"/>
        </w:rPr>
        <w:t>对内负责公司运维类产品或运维工具的研发,提供运维技术支持和支撑，具体如下：</w:t>
      </w:r>
    </w:p>
    <w:p w14:paraId="49FEA58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跟踪运维技术发展，根据公司运维业务发展需要开发运维管理工具、发现问题的技术和解决问题的技术；</w:t>
      </w:r>
    </w:p>
    <w:p w14:paraId="1B81441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负责将用户前期的业务需求转化为软件可实现的需求；</w:t>
      </w:r>
    </w:p>
    <w:p w14:paraId="5D245C0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负责新产品的评审、规划工作；</w:t>
      </w:r>
    </w:p>
    <w:p w14:paraId="101B329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负责制定现有产品的发展方向和开发计划；</w:t>
      </w:r>
    </w:p>
    <w:p w14:paraId="6B42F86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负责产品/模块的架构规划和前期设计；</w:t>
      </w:r>
    </w:p>
    <w:p w14:paraId="309E1EE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建设和培养研发相关的技术队伍，组织公司内外的产品技术培训；</w:t>
      </w:r>
    </w:p>
    <w:p w14:paraId="5C18721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7) 负责研发部门及人员考核。</w:t>
      </w:r>
    </w:p>
    <w:p w14:paraId="3537F90E">
      <w:pPr>
        <w:pStyle w:val="21"/>
        <w:bidi w:val="0"/>
      </w:pPr>
      <w:bookmarkStart w:id="21" w:name="_Toc2843"/>
      <w:r>
        <w:t>应急管理小组</w:t>
      </w:r>
      <w:bookmarkEnd w:id="21"/>
    </w:p>
    <w:p w14:paraId="07C841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hint="eastAsia" w:ascii="宋体" w:hAnsi="宋体" w:eastAsia="宋体" w:cs="宋体"/>
          <w:sz w:val="24"/>
          <w:szCs w:val="24"/>
          <w:lang w:val="en-US" w:eastAsia="zh-CN"/>
        </w:rPr>
        <w:t>成立由副总担任组长的应急管理小组</w:t>
      </w:r>
      <w:r>
        <w:rPr>
          <w:rFonts w:ascii="宋体" w:hAnsi="宋体" w:eastAsia="宋体" w:cs="宋体"/>
          <w:sz w:val="24"/>
          <w:szCs w:val="24"/>
        </w:rPr>
        <w:t>，</w:t>
      </w:r>
      <w:r>
        <w:rPr>
          <w:rFonts w:hint="eastAsia" w:ascii="宋体" w:hAnsi="宋体" w:eastAsia="宋体" w:cs="宋体"/>
          <w:sz w:val="24"/>
          <w:szCs w:val="24"/>
          <w:lang w:val="en-US" w:eastAsia="zh-CN"/>
        </w:rPr>
        <w:t>主要工作成员包括质量部组长和组员。</w:t>
      </w:r>
      <w:r>
        <w:rPr>
          <w:rFonts w:ascii="宋体" w:hAnsi="宋体" w:eastAsia="宋体" w:cs="宋体"/>
          <w:sz w:val="24"/>
          <w:szCs w:val="24"/>
        </w:rPr>
        <w:t>及时处理应急响应事件，为运维服务部提供技术支撑，具体如下：</w:t>
      </w:r>
    </w:p>
    <w:p w14:paraId="10C5ABC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根据不同类型的突发事件，制定详细的应急预案，确保事件发生时能够快速反应。</w:t>
      </w:r>
    </w:p>
    <w:p w14:paraId="2070E11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ascii="宋体" w:hAnsi="宋体" w:eastAsia="宋体" w:cs="宋体"/>
          <w:sz w:val="24"/>
          <w:szCs w:val="24"/>
        </w:rPr>
        <w:t>2) 定期组织应急演练，提高各部门协作能力和应急反应能力。</w:t>
      </w:r>
    </w:p>
    <w:p w14:paraId="2BEB51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ascii="宋体" w:hAnsi="宋体" w:eastAsia="宋体" w:cs="宋体"/>
          <w:sz w:val="24"/>
          <w:szCs w:val="24"/>
        </w:rPr>
        <w:t xml:space="preserve">) </w:t>
      </w:r>
      <w:r>
        <w:rPr>
          <w:rFonts w:hint="eastAsia" w:ascii="宋体" w:hAnsi="宋体" w:eastAsia="宋体" w:cs="宋体"/>
          <w:sz w:val="24"/>
          <w:szCs w:val="24"/>
          <w:lang w:val="en-US" w:eastAsia="zh-CN"/>
        </w:rPr>
        <w:t>应急响应事件结束后,组织对应急响应的评估,总结经验,完善应急预案,提供应急管理能力。</w:t>
      </w:r>
    </w:p>
    <w:p w14:paraId="3EB2C3D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ascii="宋体" w:hAnsi="宋体" w:eastAsia="宋体" w:cs="宋体"/>
          <w:sz w:val="24"/>
          <w:szCs w:val="24"/>
        </w:rPr>
        <w:t xml:space="preserve">) </w:t>
      </w:r>
      <w:r>
        <w:rPr>
          <w:rFonts w:hint="eastAsia" w:ascii="宋体" w:hAnsi="宋体" w:eastAsia="宋体" w:cs="宋体"/>
          <w:sz w:val="24"/>
          <w:szCs w:val="24"/>
          <w:lang w:val="en-US" w:eastAsia="zh-CN"/>
        </w:rPr>
        <w:t>建立信息收集机制，及时获取突发事件的信息，进行分析和研判，为决策提供依据。</w:t>
      </w:r>
    </w:p>
    <w:p w14:paraId="53A198A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ascii="宋体" w:hAnsi="宋体" w:eastAsia="宋体" w:cs="宋体"/>
          <w:sz w:val="24"/>
          <w:szCs w:val="24"/>
        </w:rPr>
        <w:t xml:space="preserve">) </w:t>
      </w:r>
      <w:r>
        <w:rPr>
          <w:rFonts w:hint="eastAsia" w:ascii="宋体" w:hAnsi="宋体" w:eastAsia="宋体" w:cs="宋体"/>
          <w:sz w:val="24"/>
          <w:szCs w:val="24"/>
          <w:lang w:val="en-US" w:eastAsia="zh-CN"/>
        </w:rPr>
        <w:t>及时向客户发布信息，消除客户恐慌情绪，增强客户安全意识。</w:t>
      </w:r>
    </w:p>
    <w:p w14:paraId="27122C0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p>
    <w:sectPr>
      <w:footerReference r:id="rId7" w:type="default"/>
      <w:pgSz w:w="11912" w:h="16841"/>
      <w:pgMar w:top="1385" w:right="1786" w:bottom="1714" w:left="1768" w:header="0" w:footer="144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 w:name="heng">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AB6C27">
    <w:pPr>
      <w:spacing w:before="73" w:line="223" w:lineRule="auto"/>
      <w:ind w:left="4146"/>
      <w:rPr>
        <w:rFonts w:ascii="Times New Roman" w:hAnsi="Times New Roman" w:eastAsia="Times New Roman" w:cs="Times New Roman"/>
        <w:sz w:val="18"/>
        <w:szCs w:val="18"/>
      </w:rPr>
    </w:pPr>
    <w:r>
      <w:pict>
        <v:shape id="_x0000_s4097" o:spid="_x0000_s4097" style="position:absolute;left:0pt;margin-left:88.4pt;margin-top:756.3pt;height:0.5pt;width:417pt;mso-position-horizontal-relative:page;mso-position-vertical-relative:page;z-index:251659264;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938D14">
    <w:pPr>
      <w:spacing w:before="73" w:line="223" w:lineRule="auto"/>
      <w:ind w:left="4211"/>
      <w:rPr>
        <w:rFonts w:ascii="Times New Roman" w:hAnsi="Times New Roman" w:eastAsia="Times New Roman" w:cs="Times New Roman"/>
        <w:sz w:val="18"/>
        <w:szCs w:val="18"/>
      </w:rPr>
    </w:pPr>
    <w:r>
      <w:pict>
        <v:shape id="_x0000_s4098" o:spid="_x0000_s4098" style="position:absolute;left:0pt;margin-left:88.4pt;margin-top:756.3pt;height:0.5pt;width:417pt;mso-position-horizontal-relative:page;mso-position-vertical-relative:page;z-index:251660288;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E82660">
    <w:pPr>
      <w:spacing w:before="73" w:line="220" w:lineRule="auto"/>
      <w:ind w:left="4132"/>
      <w:rPr>
        <w:rFonts w:ascii="Times New Roman" w:hAnsi="Times New Roman" w:eastAsia="Times New Roman" w:cs="Times New Roman"/>
        <w:sz w:val="18"/>
        <w:szCs w:val="18"/>
      </w:rPr>
    </w:pPr>
    <w:r>
      <w:pict>
        <v:shape id="_x0000_s4101" o:spid="_x0000_s4101" style="position:absolute;left:0pt;margin-left:88.4pt;margin-top:756.3pt;height:0.5pt;width:417pt;mso-position-horizontal-relative:page;mso-position-vertical-relative:page;z-index:251661312;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spaceForUL/>
    <w:ulTrailSpace/>
    <w:doNotExpandShiftReturn/>
    <w:doNotWrapTextWithPunct/>
    <w:doNotUseEastAsianBreakRules/>
    <w:useFELayout/>
    <w:compatSetting w:name="compatibilityMode" w:uri="http://schemas.microsoft.com/office/word" w:val="14"/>
  </w:compat>
  <w:rsids>
    <w:rsidRoot w:val="00000000"/>
    <w:rsid w:val="00AF0D08"/>
    <w:rsid w:val="00DC5E6F"/>
    <w:rsid w:val="00F4210C"/>
    <w:rsid w:val="01483505"/>
    <w:rsid w:val="02581525"/>
    <w:rsid w:val="028E4F47"/>
    <w:rsid w:val="02D2752A"/>
    <w:rsid w:val="0363121C"/>
    <w:rsid w:val="03A51E14"/>
    <w:rsid w:val="03BB7FBE"/>
    <w:rsid w:val="0430275A"/>
    <w:rsid w:val="043D55F3"/>
    <w:rsid w:val="04622F71"/>
    <w:rsid w:val="062E4A77"/>
    <w:rsid w:val="06CE1DB6"/>
    <w:rsid w:val="07B0406E"/>
    <w:rsid w:val="0822089A"/>
    <w:rsid w:val="08517143"/>
    <w:rsid w:val="09AB27AB"/>
    <w:rsid w:val="09B039F5"/>
    <w:rsid w:val="0A726EFC"/>
    <w:rsid w:val="0B674587"/>
    <w:rsid w:val="0BC81BCE"/>
    <w:rsid w:val="0C5E1E2E"/>
    <w:rsid w:val="0C776A4C"/>
    <w:rsid w:val="0C945850"/>
    <w:rsid w:val="0E2449B2"/>
    <w:rsid w:val="0E5A03D3"/>
    <w:rsid w:val="0F7B0FFF"/>
    <w:rsid w:val="114A472F"/>
    <w:rsid w:val="11A3317D"/>
    <w:rsid w:val="120820B5"/>
    <w:rsid w:val="13985C26"/>
    <w:rsid w:val="140212F1"/>
    <w:rsid w:val="14ED5620"/>
    <w:rsid w:val="15B50D11"/>
    <w:rsid w:val="16563778"/>
    <w:rsid w:val="167C538B"/>
    <w:rsid w:val="16CF7BB0"/>
    <w:rsid w:val="1723614E"/>
    <w:rsid w:val="17EF6030"/>
    <w:rsid w:val="18AB1F57"/>
    <w:rsid w:val="18F13E8A"/>
    <w:rsid w:val="190D2C12"/>
    <w:rsid w:val="1AD5129C"/>
    <w:rsid w:val="1BAE7CE5"/>
    <w:rsid w:val="1D383FD6"/>
    <w:rsid w:val="1D8A2A83"/>
    <w:rsid w:val="1D9236E6"/>
    <w:rsid w:val="1EAA1AE8"/>
    <w:rsid w:val="1F602B3B"/>
    <w:rsid w:val="1FB97650"/>
    <w:rsid w:val="20DB1848"/>
    <w:rsid w:val="21130FE1"/>
    <w:rsid w:val="219E4D4F"/>
    <w:rsid w:val="21D7200F"/>
    <w:rsid w:val="22791318"/>
    <w:rsid w:val="23E10F23"/>
    <w:rsid w:val="24042E63"/>
    <w:rsid w:val="24AB32DF"/>
    <w:rsid w:val="251A0B90"/>
    <w:rsid w:val="25421E95"/>
    <w:rsid w:val="26361ABD"/>
    <w:rsid w:val="27A42993"/>
    <w:rsid w:val="288366C9"/>
    <w:rsid w:val="293935AF"/>
    <w:rsid w:val="2A3E70CF"/>
    <w:rsid w:val="2A7F29B1"/>
    <w:rsid w:val="2AAB4039"/>
    <w:rsid w:val="2B512E32"/>
    <w:rsid w:val="2BDC616D"/>
    <w:rsid w:val="2C867DBF"/>
    <w:rsid w:val="2C956603"/>
    <w:rsid w:val="2CD755B9"/>
    <w:rsid w:val="2D621327"/>
    <w:rsid w:val="2E9737E8"/>
    <w:rsid w:val="2E9B34FE"/>
    <w:rsid w:val="2ED00512"/>
    <w:rsid w:val="2FC247D6"/>
    <w:rsid w:val="30ED7159"/>
    <w:rsid w:val="32F80BBE"/>
    <w:rsid w:val="335C05C6"/>
    <w:rsid w:val="337A6C9E"/>
    <w:rsid w:val="33994469"/>
    <w:rsid w:val="35725E7F"/>
    <w:rsid w:val="35CB37E1"/>
    <w:rsid w:val="36581519"/>
    <w:rsid w:val="36BF0D4F"/>
    <w:rsid w:val="373D070E"/>
    <w:rsid w:val="374C2700"/>
    <w:rsid w:val="37844317"/>
    <w:rsid w:val="386473A8"/>
    <w:rsid w:val="387168C2"/>
    <w:rsid w:val="38B92017"/>
    <w:rsid w:val="38C324D5"/>
    <w:rsid w:val="38F512A1"/>
    <w:rsid w:val="390A24E3"/>
    <w:rsid w:val="393F076E"/>
    <w:rsid w:val="3A9B5E78"/>
    <w:rsid w:val="3AD924FC"/>
    <w:rsid w:val="3ADC1619"/>
    <w:rsid w:val="3BB16FD5"/>
    <w:rsid w:val="3BB5641E"/>
    <w:rsid w:val="3C371BD0"/>
    <w:rsid w:val="3C771FCD"/>
    <w:rsid w:val="3D7309E6"/>
    <w:rsid w:val="3D98044D"/>
    <w:rsid w:val="3DDA0A65"/>
    <w:rsid w:val="3E946E66"/>
    <w:rsid w:val="3E9A1ED7"/>
    <w:rsid w:val="3F073ADC"/>
    <w:rsid w:val="3F1E2BD3"/>
    <w:rsid w:val="3FD339BE"/>
    <w:rsid w:val="409F74C9"/>
    <w:rsid w:val="41850CE8"/>
    <w:rsid w:val="41CF4659"/>
    <w:rsid w:val="4205007B"/>
    <w:rsid w:val="43B606D9"/>
    <w:rsid w:val="43CB32AB"/>
    <w:rsid w:val="444529B0"/>
    <w:rsid w:val="44DE1833"/>
    <w:rsid w:val="44FC7513"/>
    <w:rsid w:val="466E4440"/>
    <w:rsid w:val="467C4DAF"/>
    <w:rsid w:val="47B02837"/>
    <w:rsid w:val="47C06F1E"/>
    <w:rsid w:val="485927D9"/>
    <w:rsid w:val="48DF5182"/>
    <w:rsid w:val="4A050C18"/>
    <w:rsid w:val="4AA21D90"/>
    <w:rsid w:val="4B0D06CC"/>
    <w:rsid w:val="4C07336D"/>
    <w:rsid w:val="4C1635B0"/>
    <w:rsid w:val="4C995F8F"/>
    <w:rsid w:val="4D221AE1"/>
    <w:rsid w:val="4EE47996"/>
    <w:rsid w:val="4F3855EC"/>
    <w:rsid w:val="4FC652ED"/>
    <w:rsid w:val="508F3931"/>
    <w:rsid w:val="511B51C5"/>
    <w:rsid w:val="51B962B4"/>
    <w:rsid w:val="52081BED"/>
    <w:rsid w:val="52990003"/>
    <w:rsid w:val="53D153E7"/>
    <w:rsid w:val="53E04BF9"/>
    <w:rsid w:val="5435330D"/>
    <w:rsid w:val="54C10F2B"/>
    <w:rsid w:val="553B5E36"/>
    <w:rsid w:val="557E5D22"/>
    <w:rsid w:val="55AA2FBB"/>
    <w:rsid w:val="55DB4F23"/>
    <w:rsid w:val="57330EA4"/>
    <w:rsid w:val="57C87729"/>
    <w:rsid w:val="580E15DF"/>
    <w:rsid w:val="58FF0A24"/>
    <w:rsid w:val="592F54BC"/>
    <w:rsid w:val="593B4656"/>
    <w:rsid w:val="59B9557B"/>
    <w:rsid w:val="5A517EA9"/>
    <w:rsid w:val="5B4517BC"/>
    <w:rsid w:val="5C6E6AF1"/>
    <w:rsid w:val="5D342241"/>
    <w:rsid w:val="5D4B6E32"/>
    <w:rsid w:val="5D7F0889"/>
    <w:rsid w:val="5D810AA5"/>
    <w:rsid w:val="5E2D4789"/>
    <w:rsid w:val="5F63605C"/>
    <w:rsid w:val="60237BF2"/>
    <w:rsid w:val="6089214B"/>
    <w:rsid w:val="60C767CF"/>
    <w:rsid w:val="60E51267"/>
    <w:rsid w:val="60F11A9E"/>
    <w:rsid w:val="624125B1"/>
    <w:rsid w:val="62F45876"/>
    <w:rsid w:val="63F92197"/>
    <w:rsid w:val="64754700"/>
    <w:rsid w:val="648F5856"/>
    <w:rsid w:val="64986E00"/>
    <w:rsid w:val="64F25DE5"/>
    <w:rsid w:val="650A20A2"/>
    <w:rsid w:val="651D5558"/>
    <w:rsid w:val="657C227E"/>
    <w:rsid w:val="65F21726"/>
    <w:rsid w:val="66660838"/>
    <w:rsid w:val="67024A05"/>
    <w:rsid w:val="67204E8B"/>
    <w:rsid w:val="69B664CA"/>
    <w:rsid w:val="69DA3A17"/>
    <w:rsid w:val="6A7A6958"/>
    <w:rsid w:val="6AC10733"/>
    <w:rsid w:val="6B427AC6"/>
    <w:rsid w:val="6B4F5D3F"/>
    <w:rsid w:val="6C07661A"/>
    <w:rsid w:val="6C2A5C61"/>
    <w:rsid w:val="6C5F0204"/>
    <w:rsid w:val="6CBE4DDA"/>
    <w:rsid w:val="6CD91C43"/>
    <w:rsid w:val="6CF272CA"/>
    <w:rsid w:val="6D392803"/>
    <w:rsid w:val="6F0A12EA"/>
    <w:rsid w:val="6F3B4F58"/>
    <w:rsid w:val="7101188A"/>
    <w:rsid w:val="71D92AF9"/>
    <w:rsid w:val="721970A7"/>
    <w:rsid w:val="73774085"/>
    <w:rsid w:val="7400051E"/>
    <w:rsid w:val="749B2AF9"/>
    <w:rsid w:val="759369C0"/>
    <w:rsid w:val="764C17F9"/>
    <w:rsid w:val="769D2054"/>
    <w:rsid w:val="77292DED"/>
    <w:rsid w:val="77304C77"/>
    <w:rsid w:val="77A42649"/>
    <w:rsid w:val="77CF26E1"/>
    <w:rsid w:val="78DA7EF9"/>
    <w:rsid w:val="797B41A3"/>
    <w:rsid w:val="7A7B08FF"/>
    <w:rsid w:val="7B5B428C"/>
    <w:rsid w:val="7C2B1EB0"/>
    <w:rsid w:val="7C50667D"/>
    <w:rsid w:val="7D2F3C22"/>
    <w:rsid w:val="7D391A22"/>
    <w:rsid w:val="7E4454AB"/>
    <w:rsid w:val="7F2276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uiPriority w:val="0"/>
    <w:pPr>
      <w:spacing w:before="100" w:after="90" w:line="360" w:lineRule="auto"/>
    </w:pPr>
    <w:rPr>
      <w:rFonts w:ascii="Arial" w:hAnsi="Arial" w:eastAsia="宋体"/>
      <w:sz w:val="32"/>
    </w:rPr>
  </w:style>
  <w:style w:type="paragraph" w:customStyle="1" w:styleId="21">
    <w:name w:val="柴_标题2"/>
    <w:basedOn w:val="3"/>
    <w:next w:val="1"/>
    <w:uiPriority w:val="0"/>
    <w:pPr>
      <w:spacing w:line="360" w:lineRule="auto"/>
    </w:pPr>
    <w:rPr>
      <w:rFonts w:ascii="Arial" w:hAnsi="Arial" w:eastAsia="宋体"/>
      <w:sz w:val="28"/>
    </w:rPr>
  </w:style>
  <w:style w:type="paragraph" w:customStyle="1" w:styleId="22">
    <w:name w:val="柴_标题3"/>
    <w:basedOn w:val="4"/>
    <w:next w:val="1"/>
    <w:uiPriority w:val="0"/>
    <w:pPr>
      <w:spacing w:line="360" w:lineRule="auto"/>
      <w:ind w:left="0" w:firstLine="472" w:firstLineChars="200"/>
    </w:pPr>
    <w:rPr>
      <w:rFonts w:ascii="宋体" w:hAnsi="宋体" w:eastAsia="宋体" w:cs="宋体"/>
      <w:spacing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10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216</Words>
  <Characters>290</Characters>
  <TotalTime>4</TotalTime>
  <ScaleCrop>false</ScaleCrop>
  <LinksUpToDate>false</LinksUpToDate>
  <CharactersWithSpaces>309</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2025-08-17T23:17:00Z</dcterms:created>
  <dc:creator>admin</dc:creator>
  <cp:lastModifiedBy>郝宇</cp:lastModifiedBy>
  <dcterms:modified xsi:type="dcterms:W3CDTF">2025-08-23T07:15:03Z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2025-08-17T23:26:43Z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A97094D35EC745A798B0B15DB1AC0F0E_12</vt:lpwstr>
  </property>
</Properties>
</file>