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325BF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3</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-02</w:t>
      </w:r>
    </w:p>
    <w:p w14:paraId="4FC2E85E">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1C3EC930">
      <w:pPr>
        <w:pStyle w:val="24"/>
        <w:bidi w:val="0"/>
      </w:pPr>
      <w:bookmarkStart w:id="0" w:name="_Toc29816"/>
      <w:r>
        <w:rPr>
          <w:rFonts w:hint="eastAsia"/>
          <w:lang w:val="en-US" w:eastAsia="zh-CN"/>
        </w:rPr>
        <w:t>万洲奇智（青岛）信息科技有限</w:t>
      </w:r>
      <w:r>
        <w:t>公司</w:t>
      </w:r>
      <w:bookmarkEnd w:id="0"/>
    </w:p>
    <w:p w14:paraId="024A249E">
      <w:pPr>
        <w:pStyle w:val="25"/>
        <w:bidi w:val="0"/>
        <w:rPr>
          <w:rFonts w:hint="default"/>
          <w:lang w:val="en-US"/>
        </w:rPr>
      </w:pPr>
      <w:bookmarkStart w:id="1" w:name="_Toc26685"/>
      <w:r>
        <w:rPr>
          <w:rFonts w:hint="eastAsia"/>
          <w:lang w:val="en-US" w:eastAsia="zh-CN"/>
        </w:rPr>
        <w:t>运维服务能力改进管理制度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4C54DE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45947BC2">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63C22521">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6328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5F231467">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341B3467">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240A4D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7A9FFBF4">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99B83DC">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7E59640F">
      <w:r>
        <w:br w:type="page"/>
      </w:r>
    </w:p>
    <w:p w14:paraId="11CD49BB">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416B6F9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71E4881F">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6A046844">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7E05239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1922588D">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2053EFDB">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0E149792">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7934E27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742EF00">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7048F32B">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52079CF5">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0CEED737">
            <w:pPr>
              <w:spacing w:before="172" w:line="228" w:lineRule="auto"/>
              <w:ind w:left="313"/>
              <w:rPr>
                <w:rFonts w:hint="eastAsia" w:ascii="宋体" w:hAnsi="宋体" w:eastAsia="宋体" w:cs="宋体"/>
                <w:sz w:val="20"/>
                <w:szCs w:val="20"/>
                <w:lang w:val="en-US" w:eastAsia="zh-CN"/>
              </w:rPr>
            </w:pPr>
            <w:r>
              <w:rPr>
                <w:rFonts w:hint="eastAsia"/>
                <w:spacing w:val="105"/>
                <w:kern w:val="0"/>
                <w:u w:val="none"/>
                <w:vertAlign w:val="baseline"/>
                <w:lang w:val="en-US" w:eastAsia="zh-CN"/>
              </w:rPr>
              <w:t>孙</w:t>
            </w:r>
            <w:r>
              <w:rPr>
                <w:rFonts w:hint="eastAsia"/>
                <w:spacing w:val="0"/>
                <w:kern w:val="0"/>
                <w:u w:val="none"/>
                <w:vertAlign w:val="baseline"/>
                <w:lang w:val="en-US" w:eastAsia="zh-CN"/>
              </w:rPr>
              <w:t>文</w:t>
            </w:r>
          </w:p>
        </w:tc>
        <w:tc>
          <w:tcPr>
            <w:tcW w:w="1150" w:type="dxa"/>
          </w:tcPr>
          <w:p w14:paraId="57552ABC">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216F24DB">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36554A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F8E47EC">
            <w:pPr>
              <w:pStyle w:val="27"/>
            </w:pPr>
          </w:p>
        </w:tc>
        <w:tc>
          <w:tcPr>
            <w:tcW w:w="919" w:type="dxa"/>
          </w:tcPr>
          <w:p w14:paraId="7C06B75B">
            <w:pPr>
              <w:pStyle w:val="27"/>
            </w:pPr>
          </w:p>
        </w:tc>
        <w:tc>
          <w:tcPr>
            <w:tcW w:w="2289" w:type="dxa"/>
          </w:tcPr>
          <w:p w14:paraId="20ED316E">
            <w:pPr>
              <w:pStyle w:val="27"/>
            </w:pPr>
          </w:p>
        </w:tc>
        <w:tc>
          <w:tcPr>
            <w:tcW w:w="1148" w:type="dxa"/>
          </w:tcPr>
          <w:p w14:paraId="6C8CAA23">
            <w:pPr>
              <w:spacing w:before="172" w:line="228" w:lineRule="auto"/>
              <w:ind w:left="313"/>
            </w:pPr>
          </w:p>
        </w:tc>
        <w:tc>
          <w:tcPr>
            <w:tcW w:w="1150" w:type="dxa"/>
          </w:tcPr>
          <w:p w14:paraId="0823A928">
            <w:pPr>
              <w:spacing w:before="172" w:line="228" w:lineRule="auto"/>
              <w:ind w:left="313"/>
            </w:pPr>
          </w:p>
        </w:tc>
        <w:tc>
          <w:tcPr>
            <w:tcW w:w="1240" w:type="dxa"/>
          </w:tcPr>
          <w:p w14:paraId="12C2C71C">
            <w:pPr>
              <w:pStyle w:val="27"/>
            </w:pPr>
          </w:p>
        </w:tc>
      </w:tr>
      <w:tr w14:paraId="476C869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31AB8CE">
            <w:pPr>
              <w:pStyle w:val="27"/>
            </w:pPr>
          </w:p>
        </w:tc>
        <w:tc>
          <w:tcPr>
            <w:tcW w:w="919" w:type="dxa"/>
          </w:tcPr>
          <w:p w14:paraId="05722A0A">
            <w:pPr>
              <w:pStyle w:val="27"/>
            </w:pPr>
          </w:p>
        </w:tc>
        <w:tc>
          <w:tcPr>
            <w:tcW w:w="2289" w:type="dxa"/>
          </w:tcPr>
          <w:p w14:paraId="4852B5A8">
            <w:pPr>
              <w:pStyle w:val="27"/>
            </w:pPr>
          </w:p>
        </w:tc>
        <w:tc>
          <w:tcPr>
            <w:tcW w:w="1148" w:type="dxa"/>
          </w:tcPr>
          <w:p w14:paraId="70161368">
            <w:pPr>
              <w:spacing w:before="173" w:line="229" w:lineRule="auto"/>
              <w:ind w:left="314"/>
            </w:pPr>
          </w:p>
        </w:tc>
        <w:tc>
          <w:tcPr>
            <w:tcW w:w="1150" w:type="dxa"/>
          </w:tcPr>
          <w:p w14:paraId="7CFE5DCC">
            <w:pPr>
              <w:spacing w:before="173" w:line="229" w:lineRule="auto"/>
              <w:ind w:left="314"/>
            </w:pPr>
          </w:p>
        </w:tc>
        <w:tc>
          <w:tcPr>
            <w:tcW w:w="1240" w:type="dxa"/>
          </w:tcPr>
          <w:p w14:paraId="40F3F7F1">
            <w:pPr>
              <w:pStyle w:val="27"/>
            </w:pPr>
          </w:p>
        </w:tc>
      </w:tr>
      <w:tr w14:paraId="1C2BD68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5BA3EE9B">
            <w:pPr>
              <w:pStyle w:val="27"/>
            </w:pPr>
          </w:p>
        </w:tc>
        <w:tc>
          <w:tcPr>
            <w:tcW w:w="919" w:type="dxa"/>
          </w:tcPr>
          <w:p w14:paraId="773A9DAF">
            <w:pPr>
              <w:pStyle w:val="27"/>
            </w:pPr>
          </w:p>
        </w:tc>
        <w:tc>
          <w:tcPr>
            <w:tcW w:w="2289" w:type="dxa"/>
          </w:tcPr>
          <w:p w14:paraId="08AD5BC5">
            <w:pPr>
              <w:pStyle w:val="27"/>
            </w:pPr>
          </w:p>
        </w:tc>
        <w:tc>
          <w:tcPr>
            <w:tcW w:w="1148" w:type="dxa"/>
          </w:tcPr>
          <w:p w14:paraId="3944C5AE">
            <w:pPr>
              <w:pStyle w:val="27"/>
            </w:pPr>
          </w:p>
        </w:tc>
        <w:tc>
          <w:tcPr>
            <w:tcW w:w="1150" w:type="dxa"/>
          </w:tcPr>
          <w:p w14:paraId="52ECE986">
            <w:pPr>
              <w:pStyle w:val="27"/>
            </w:pPr>
          </w:p>
        </w:tc>
        <w:tc>
          <w:tcPr>
            <w:tcW w:w="1240" w:type="dxa"/>
          </w:tcPr>
          <w:p w14:paraId="6C715036">
            <w:pPr>
              <w:pStyle w:val="27"/>
            </w:pPr>
          </w:p>
        </w:tc>
      </w:tr>
      <w:tr w14:paraId="745FB35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747169E">
            <w:pPr>
              <w:pStyle w:val="27"/>
            </w:pPr>
          </w:p>
        </w:tc>
        <w:tc>
          <w:tcPr>
            <w:tcW w:w="919" w:type="dxa"/>
          </w:tcPr>
          <w:p w14:paraId="674A431B">
            <w:pPr>
              <w:pStyle w:val="27"/>
            </w:pPr>
          </w:p>
        </w:tc>
        <w:tc>
          <w:tcPr>
            <w:tcW w:w="2289" w:type="dxa"/>
          </w:tcPr>
          <w:p w14:paraId="21910DDC">
            <w:pPr>
              <w:pStyle w:val="27"/>
            </w:pPr>
          </w:p>
        </w:tc>
        <w:tc>
          <w:tcPr>
            <w:tcW w:w="1148" w:type="dxa"/>
          </w:tcPr>
          <w:p w14:paraId="39E42D0A">
            <w:pPr>
              <w:pStyle w:val="27"/>
            </w:pPr>
          </w:p>
        </w:tc>
        <w:tc>
          <w:tcPr>
            <w:tcW w:w="1150" w:type="dxa"/>
          </w:tcPr>
          <w:p w14:paraId="64714DB2">
            <w:pPr>
              <w:pStyle w:val="27"/>
            </w:pPr>
          </w:p>
        </w:tc>
        <w:tc>
          <w:tcPr>
            <w:tcW w:w="1240" w:type="dxa"/>
          </w:tcPr>
          <w:p w14:paraId="7FA65EA3">
            <w:pPr>
              <w:pStyle w:val="27"/>
            </w:pPr>
          </w:p>
        </w:tc>
      </w:tr>
      <w:tr w14:paraId="1D857E3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486C81F4">
            <w:pPr>
              <w:pStyle w:val="27"/>
            </w:pPr>
          </w:p>
        </w:tc>
        <w:tc>
          <w:tcPr>
            <w:tcW w:w="919" w:type="dxa"/>
          </w:tcPr>
          <w:p w14:paraId="22B77975">
            <w:pPr>
              <w:pStyle w:val="27"/>
            </w:pPr>
          </w:p>
        </w:tc>
        <w:tc>
          <w:tcPr>
            <w:tcW w:w="2289" w:type="dxa"/>
          </w:tcPr>
          <w:p w14:paraId="561F45A6">
            <w:pPr>
              <w:pStyle w:val="27"/>
            </w:pPr>
          </w:p>
        </w:tc>
        <w:tc>
          <w:tcPr>
            <w:tcW w:w="1148" w:type="dxa"/>
          </w:tcPr>
          <w:p w14:paraId="614248B5">
            <w:pPr>
              <w:pStyle w:val="27"/>
            </w:pPr>
          </w:p>
        </w:tc>
        <w:tc>
          <w:tcPr>
            <w:tcW w:w="1150" w:type="dxa"/>
          </w:tcPr>
          <w:p w14:paraId="551AB731">
            <w:pPr>
              <w:pStyle w:val="27"/>
            </w:pPr>
          </w:p>
        </w:tc>
        <w:tc>
          <w:tcPr>
            <w:tcW w:w="1240" w:type="dxa"/>
          </w:tcPr>
          <w:p w14:paraId="0C0727CF">
            <w:pPr>
              <w:pStyle w:val="27"/>
            </w:pPr>
          </w:p>
        </w:tc>
      </w:tr>
    </w:tbl>
    <w:p w14:paraId="4CD1CF0D">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544E0279">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9D2B3C3">
          <w:pPr>
            <w:pStyle w:val="16"/>
            <w:tabs>
              <w:tab w:val="right" w:leader="dot" w:pos="8306"/>
            </w:tabs>
          </w:pPr>
          <w:bookmarkStart w:id="23" w:name="_GoBack"/>
          <w:bookmarkEnd w:id="23"/>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_Toc29816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_Toc29816 \h </w:instrText>
          </w:r>
          <w:r>
            <w:fldChar w:fldCharType="separate"/>
          </w:r>
          <w:r>
            <w:t>1</w:t>
          </w:r>
          <w:r>
            <w:fldChar w:fldCharType="end"/>
          </w:r>
          <w:r>
            <w:rPr>
              <w:rFonts w:hint="eastAsia" w:ascii="宋体" w:hAnsi="宋体" w:eastAsia="宋体" w:cs="宋体"/>
              <w:szCs w:val="24"/>
            </w:rPr>
            <w:fldChar w:fldCharType="end"/>
          </w:r>
        </w:p>
        <w:p w14:paraId="4D33741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_Toc26685 </w:instrText>
          </w:r>
          <w:r>
            <w:rPr>
              <w:rFonts w:hint="eastAsia" w:ascii="宋体" w:hAnsi="宋体" w:eastAsia="宋体" w:cs="宋体"/>
              <w:szCs w:val="24"/>
            </w:rPr>
            <w:fldChar w:fldCharType="separate"/>
          </w:r>
          <w:r>
            <w:rPr>
              <w:rFonts w:hint="eastAsia"/>
              <w:lang w:val="en-US" w:eastAsia="zh-CN"/>
            </w:rPr>
            <w:t>运维服务能力改进管理制度</w:t>
          </w:r>
          <w:r>
            <w:tab/>
          </w:r>
          <w:r>
            <w:fldChar w:fldCharType="begin"/>
          </w:r>
          <w:r>
            <w:instrText xml:space="preserve"> PAGEREF _Toc26685 \h </w:instrText>
          </w:r>
          <w:r>
            <w:fldChar w:fldCharType="separate"/>
          </w:r>
          <w:r>
            <w:t>1</w:t>
          </w:r>
          <w:r>
            <w:fldChar w:fldCharType="end"/>
          </w:r>
          <w:r>
            <w:rPr>
              <w:rFonts w:hint="eastAsia" w:ascii="宋体" w:hAnsi="宋体" w:eastAsia="宋体" w:cs="宋体"/>
              <w:szCs w:val="24"/>
            </w:rPr>
            <w:fldChar w:fldCharType="end"/>
          </w:r>
        </w:p>
        <w:p w14:paraId="3DFED8E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_Toc16192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_Toc16192 \h </w:instrText>
          </w:r>
          <w:r>
            <w:fldChar w:fldCharType="separate"/>
          </w:r>
          <w:r>
            <w:t>4</w:t>
          </w:r>
          <w:r>
            <w:fldChar w:fldCharType="end"/>
          </w:r>
          <w:r>
            <w:rPr>
              <w:rFonts w:hint="eastAsia" w:ascii="宋体" w:hAnsi="宋体" w:eastAsia="宋体" w:cs="宋体"/>
              <w:szCs w:val="24"/>
            </w:rPr>
            <w:fldChar w:fldCharType="end"/>
          </w:r>
        </w:p>
        <w:p w14:paraId="42C7DE3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_Toc26100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_Toc26100 \h </w:instrText>
          </w:r>
          <w:r>
            <w:fldChar w:fldCharType="separate"/>
          </w:r>
          <w:r>
            <w:t>4</w:t>
          </w:r>
          <w:r>
            <w:fldChar w:fldCharType="end"/>
          </w:r>
          <w:r>
            <w:rPr>
              <w:rFonts w:hint="eastAsia" w:ascii="宋体" w:hAnsi="宋体" w:eastAsia="宋体" w:cs="宋体"/>
              <w:szCs w:val="24"/>
            </w:rPr>
            <w:fldChar w:fldCharType="end"/>
          </w:r>
        </w:p>
        <w:p w14:paraId="5747CF4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_Toc26255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_Toc26255 \h </w:instrText>
          </w:r>
          <w:r>
            <w:fldChar w:fldCharType="separate"/>
          </w:r>
          <w:r>
            <w:t>4</w:t>
          </w:r>
          <w:r>
            <w:fldChar w:fldCharType="end"/>
          </w:r>
          <w:r>
            <w:rPr>
              <w:rFonts w:hint="eastAsia" w:ascii="宋体" w:hAnsi="宋体" w:eastAsia="宋体" w:cs="宋体"/>
              <w:szCs w:val="24"/>
            </w:rPr>
            <w:fldChar w:fldCharType="end"/>
          </w:r>
        </w:p>
        <w:p w14:paraId="03132D3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_Toc24261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_Toc24261 \h </w:instrText>
          </w:r>
          <w:r>
            <w:fldChar w:fldCharType="separate"/>
          </w:r>
          <w:r>
            <w:t>4</w:t>
          </w:r>
          <w:r>
            <w:fldChar w:fldCharType="end"/>
          </w:r>
          <w:r>
            <w:rPr>
              <w:rFonts w:hint="eastAsia" w:ascii="宋体" w:hAnsi="宋体" w:eastAsia="宋体" w:cs="宋体"/>
              <w:szCs w:val="24"/>
            </w:rPr>
            <w:fldChar w:fldCharType="end"/>
          </w:r>
        </w:p>
        <w:p w14:paraId="01CA9BD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_Toc16255 </w:instrText>
          </w:r>
          <w:r>
            <w:rPr>
              <w:rFonts w:hint="eastAsia" w:ascii="宋体" w:hAnsi="宋体" w:eastAsia="宋体" w:cs="宋体"/>
              <w:szCs w:val="24"/>
            </w:rPr>
            <w:fldChar w:fldCharType="separate"/>
          </w:r>
          <w:r>
            <w:rPr>
              <w:rFonts w:hint="default"/>
            </w:rPr>
            <w:t xml:space="preserve">4.1. </w:t>
          </w:r>
          <w:r>
            <w:t>管理层</w:t>
          </w:r>
          <w:r>
            <w:tab/>
          </w:r>
          <w:r>
            <w:fldChar w:fldCharType="begin"/>
          </w:r>
          <w:r>
            <w:instrText xml:space="preserve"> PAGEREF _Toc16255 \h </w:instrText>
          </w:r>
          <w:r>
            <w:fldChar w:fldCharType="separate"/>
          </w:r>
          <w:r>
            <w:t>4</w:t>
          </w:r>
          <w:r>
            <w:fldChar w:fldCharType="end"/>
          </w:r>
          <w:r>
            <w:rPr>
              <w:rFonts w:hint="eastAsia" w:ascii="宋体" w:hAnsi="宋体" w:eastAsia="宋体" w:cs="宋体"/>
              <w:szCs w:val="24"/>
            </w:rPr>
            <w:fldChar w:fldCharType="end"/>
          </w:r>
        </w:p>
        <w:p w14:paraId="27D6571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_Toc23280 </w:instrText>
          </w:r>
          <w:r>
            <w:rPr>
              <w:rFonts w:hint="eastAsia" w:ascii="宋体" w:hAnsi="宋体" w:eastAsia="宋体" w:cs="宋体"/>
              <w:szCs w:val="24"/>
            </w:rPr>
            <w:fldChar w:fldCharType="separate"/>
          </w:r>
          <w:r>
            <w:rPr>
              <w:rFonts w:hint="default"/>
            </w:rPr>
            <w:t xml:space="preserve">4.2. </w:t>
          </w:r>
          <w:r>
            <w:rPr>
              <w:rFonts w:hint="eastAsia"/>
              <w:lang w:val="en-US" w:eastAsia="zh-CN"/>
            </w:rPr>
            <w:t>质量</w:t>
          </w:r>
          <w:r>
            <w:t>部</w:t>
          </w:r>
          <w:r>
            <w:tab/>
          </w:r>
          <w:r>
            <w:fldChar w:fldCharType="begin"/>
          </w:r>
          <w:r>
            <w:instrText xml:space="preserve"> PAGEREF _Toc23280 \h </w:instrText>
          </w:r>
          <w:r>
            <w:fldChar w:fldCharType="separate"/>
          </w:r>
          <w:r>
            <w:t>5</w:t>
          </w:r>
          <w:r>
            <w:fldChar w:fldCharType="end"/>
          </w:r>
          <w:r>
            <w:rPr>
              <w:rFonts w:hint="eastAsia" w:ascii="宋体" w:hAnsi="宋体" w:eastAsia="宋体" w:cs="宋体"/>
              <w:szCs w:val="24"/>
            </w:rPr>
            <w:fldChar w:fldCharType="end"/>
          </w:r>
        </w:p>
        <w:p w14:paraId="52B26B7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_Toc17071 </w:instrText>
          </w:r>
          <w:r>
            <w:rPr>
              <w:rFonts w:hint="eastAsia" w:ascii="宋体" w:hAnsi="宋体" w:eastAsia="宋体" w:cs="宋体"/>
              <w:szCs w:val="24"/>
            </w:rPr>
            <w:fldChar w:fldCharType="separate"/>
          </w:r>
          <w:r>
            <w:rPr>
              <w:rFonts w:hint="default"/>
            </w:rPr>
            <w:t xml:space="preserve">4.3. </w:t>
          </w:r>
          <w:r>
            <w:rPr>
              <w:rFonts w:hint="eastAsia"/>
              <w:lang w:val="en-US" w:eastAsia="zh-CN"/>
            </w:rPr>
            <w:t>其他运维</w:t>
          </w:r>
          <w:r>
            <w:t>部门</w:t>
          </w:r>
          <w:r>
            <w:tab/>
          </w:r>
          <w:r>
            <w:fldChar w:fldCharType="begin"/>
          </w:r>
          <w:r>
            <w:instrText xml:space="preserve"> PAGEREF _Toc17071 \h </w:instrText>
          </w:r>
          <w:r>
            <w:fldChar w:fldCharType="separate"/>
          </w:r>
          <w:r>
            <w:t>5</w:t>
          </w:r>
          <w:r>
            <w:fldChar w:fldCharType="end"/>
          </w:r>
          <w:r>
            <w:rPr>
              <w:rFonts w:hint="eastAsia" w:ascii="宋体" w:hAnsi="宋体" w:eastAsia="宋体" w:cs="宋体"/>
              <w:szCs w:val="24"/>
            </w:rPr>
            <w:fldChar w:fldCharType="end"/>
          </w:r>
        </w:p>
        <w:p w14:paraId="7E1C5A9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_Toc17521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能力改进实施</w:t>
          </w:r>
          <w:r>
            <w:tab/>
          </w:r>
          <w:r>
            <w:fldChar w:fldCharType="begin"/>
          </w:r>
          <w:r>
            <w:instrText xml:space="preserve"> PAGEREF _Toc17521 \h </w:instrText>
          </w:r>
          <w:r>
            <w:fldChar w:fldCharType="separate"/>
          </w:r>
          <w:r>
            <w:t>5</w:t>
          </w:r>
          <w:r>
            <w:fldChar w:fldCharType="end"/>
          </w:r>
          <w:r>
            <w:rPr>
              <w:rFonts w:hint="eastAsia" w:ascii="宋体" w:hAnsi="宋体" w:eastAsia="宋体" w:cs="宋体"/>
              <w:szCs w:val="24"/>
            </w:rPr>
            <w:fldChar w:fldCharType="end"/>
          </w:r>
        </w:p>
        <w:p w14:paraId="33F8A72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_Toc7834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流程说明</w:t>
          </w:r>
          <w:r>
            <w:tab/>
          </w:r>
          <w:r>
            <w:fldChar w:fldCharType="begin"/>
          </w:r>
          <w:r>
            <w:instrText xml:space="preserve"> PAGEREF _Toc7834 \h </w:instrText>
          </w:r>
          <w:r>
            <w:fldChar w:fldCharType="separate"/>
          </w:r>
          <w:r>
            <w:t>6</w:t>
          </w:r>
          <w:r>
            <w:fldChar w:fldCharType="end"/>
          </w:r>
          <w:r>
            <w:rPr>
              <w:rFonts w:hint="eastAsia" w:ascii="宋体" w:hAnsi="宋体" w:eastAsia="宋体" w:cs="宋体"/>
              <w:szCs w:val="24"/>
            </w:rPr>
            <w:fldChar w:fldCharType="end"/>
          </w:r>
        </w:p>
        <w:p w14:paraId="198D9AF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_Toc4734 </w:instrText>
          </w:r>
          <w:r>
            <w:rPr>
              <w:rFonts w:hint="eastAsia" w:ascii="宋体" w:hAnsi="宋体" w:eastAsia="宋体" w:cs="宋体"/>
              <w:szCs w:val="24"/>
            </w:rPr>
            <w:fldChar w:fldCharType="separate"/>
          </w:r>
          <w:r>
            <w:rPr>
              <w:rFonts w:hint="default"/>
              <w:lang w:val="en-US" w:eastAsia="zh-CN"/>
            </w:rPr>
            <w:t xml:space="preserve">5.1.1. </w:t>
          </w:r>
          <w:r>
            <w:rPr>
              <w:rFonts w:hint="eastAsia"/>
              <w:lang w:val="en-US" w:eastAsia="zh-CN"/>
            </w:rPr>
            <w:t>识别过程改进</w:t>
          </w:r>
          <w:r>
            <w:tab/>
          </w:r>
          <w:r>
            <w:fldChar w:fldCharType="begin"/>
          </w:r>
          <w:r>
            <w:instrText xml:space="preserve"> PAGEREF _Toc4734 \h </w:instrText>
          </w:r>
          <w:r>
            <w:fldChar w:fldCharType="separate"/>
          </w:r>
          <w:r>
            <w:t>6</w:t>
          </w:r>
          <w:r>
            <w:fldChar w:fldCharType="end"/>
          </w:r>
          <w:r>
            <w:rPr>
              <w:rFonts w:hint="eastAsia" w:ascii="宋体" w:hAnsi="宋体" w:eastAsia="宋体" w:cs="宋体"/>
              <w:szCs w:val="24"/>
            </w:rPr>
            <w:fldChar w:fldCharType="end"/>
          </w:r>
        </w:p>
        <w:p w14:paraId="5CF328D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_Toc3496 </w:instrText>
          </w:r>
          <w:r>
            <w:rPr>
              <w:rFonts w:hint="eastAsia" w:ascii="宋体" w:hAnsi="宋体" w:eastAsia="宋体" w:cs="宋体"/>
              <w:szCs w:val="24"/>
            </w:rPr>
            <w:fldChar w:fldCharType="separate"/>
          </w:r>
          <w:r>
            <w:rPr>
              <w:rFonts w:hint="default"/>
            </w:rPr>
            <w:t xml:space="preserve">5.1.2. </w:t>
          </w:r>
          <w:r>
            <w:t>过程改进策划</w:t>
          </w:r>
          <w:r>
            <w:tab/>
          </w:r>
          <w:r>
            <w:fldChar w:fldCharType="begin"/>
          </w:r>
          <w:r>
            <w:instrText xml:space="preserve"> PAGEREF _Toc3496 \h </w:instrText>
          </w:r>
          <w:r>
            <w:fldChar w:fldCharType="separate"/>
          </w:r>
          <w:r>
            <w:t>6</w:t>
          </w:r>
          <w:r>
            <w:fldChar w:fldCharType="end"/>
          </w:r>
          <w:r>
            <w:rPr>
              <w:rFonts w:hint="eastAsia" w:ascii="宋体" w:hAnsi="宋体" w:eastAsia="宋体" w:cs="宋体"/>
              <w:szCs w:val="24"/>
            </w:rPr>
            <w:fldChar w:fldCharType="end"/>
          </w:r>
        </w:p>
        <w:p w14:paraId="7D93FEF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_Toc15838 </w:instrText>
          </w:r>
          <w:r>
            <w:rPr>
              <w:rFonts w:hint="eastAsia" w:ascii="宋体" w:hAnsi="宋体" w:eastAsia="宋体" w:cs="宋体"/>
              <w:szCs w:val="24"/>
            </w:rPr>
            <w:fldChar w:fldCharType="separate"/>
          </w:r>
          <w:r>
            <w:rPr>
              <w:rFonts w:hint="default"/>
            </w:rPr>
            <w:t xml:space="preserve">5.1.3. </w:t>
          </w:r>
          <w:r>
            <w:t>过程改进实施</w:t>
          </w:r>
          <w:r>
            <w:tab/>
          </w:r>
          <w:r>
            <w:fldChar w:fldCharType="begin"/>
          </w:r>
          <w:r>
            <w:instrText xml:space="preserve"> PAGEREF _Toc15838 \h </w:instrText>
          </w:r>
          <w:r>
            <w:fldChar w:fldCharType="separate"/>
          </w:r>
          <w:r>
            <w:t>7</w:t>
          </w:r>
          <w:r>
            <w:fldChar w:fldCharType="end"/>
          </w:r>
          <w:r>
            <w:rPr>
              <w:rFonts w:hint="eastAsia" w:ascii="宋体" w:hAnsi="宋体" w:eastAsia="宋体" w:cs="宋体"/>
              <w:szCs w:val="24"/>
            </w:rPr>
            <w:fldChar w:fldCharType="end"/>
          </w:r>
        </w:p>
        <w:p w14:paraId="399E58D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_Toc5519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_Toc5519 \h </w:instrText>
          </w:r>
          <w:r>
            <w:fldChar w:fldCharType="separate"/>
          </w:r>
          <w:r>
            <w:t>7</w:t>
          </w:r>
          <w:r>
            <w:fldChar w:fldCharType="end"/>
          </w:r>
          <w:r>
            <w:rPr>
              <w:rFonts w:hint="eastAsia" w:ascii="宋体" w:hAnsi="宋体" w:eastAsia="宋体" w:cs="宋体"/>
              <w:szCs w:val="24"/>
            </w:rPr>
            <w:fldChar w:fldCharType="end"/>
          </w:r>
        </w:p>
        <w:p w14:paraId="5749C83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_Toc11573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_Toc11573 \h </w:instrText>
          </w:r>
          <w:r>
            <w:fldChar w:fldCharType="separate"/>
          </w:r>
          <w:r>
            <w:t>7</w:t>
          </w:r>
          <w:r>
            <w:fldChar w:fldCharType="end"/>
          </w:r>
          <w:r>
            <w:rPr>
              <w:rFonts w:hint="eastAsia" w:ascii="宋体" w:hAnsi="宋体" w:eastAsia="宋体" w:cs="宋体"/>
              <w:szCs w:val="24"/>
            </w:rPr>
            <w:fldChar w:fldCharType="end"/>
          </w:r>
        </w:p>
        <w:p w14:paraId="46486013">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6362B6F7">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088EC16E">
      <w:pPr>
        <w:pStyle w:val="28"/>
        <w:bidi w:val="0"/>
      </w:pPr>
      <w:bookmarkStart w:id="2" w:name="_Toc16192"/>
      <w:r>
        <w:t>目的</w:t>
      </w:r>
      <w:bookmarkEnd w:id="2"/>
    </w:p>
    <w:p w14:paraId="2EA94F77">
      <w:pPr>
        <w:pStyle w:val="29"/>
        <w:bidi w:val="0"/>
        <w:rPr>
          <w:rFonts w:hint="default"/>
          <w:lang w:val="en-US" w:eastAsia="zh-CN"/>
        </w:rPr>
      </w:pPr>
      <w:r>
        <w:rPr>
          <w:rFonts w:hint="eastAsia"/>
          <w:lang w:val="en-US" w:eastAsia="zh-CN"/>
        </w:rPr>
        <w:t>为</w:t>
      </w:r>
      <w:r>
        <w:t>掌握运维服务能力的过程状态，识别该过程改进机会，策划和实施过程的改进活动</w:t>
      </w:r>
      <w:r>
        <w:rPr>
          <w:rFonts w:hint="eastAsia"/>
          <w:lang w:val="en-US" w:eastAsia="zh-CN"/>
        </w:rPr>
        <w:t>特制定此制度。</w:t>
      </w:r>
    </w:p>
    <w:p w14:paraId="4668C437">
      <w:pPr>
        <w:pStyle w:val="28"/>
        <w:bidi w:val="0"/>
        <w:rPr>
          <w:rFonts w:hint="eastAsia"/>
          <w:lang w:val="en-US" w:eastAsia="zh-CN"/>
        </w:rPr>
      </w:pPr>
      <w:bookmarkStart w:id="3" w:name="_Toc26100"/>
      <w:r>
        <w:rPr>
          <w:rFonts w:hint="eastAsia"/>
          <w:lang w:val="en-US" w:eastAsia="zh-CN"/>
        </w:rPr>
        <w:t>原则</w:t>
      </w:r>
      <w:bookmarkEnd w:id="3"/>
    </w:p>
    <w:p w14:paraId="7F1A236C">
      <w:pPr>
        <w:pStyle w:val="29"/>
        <w:numPr>
          <w:ilvl w:val="0"/>
          <w:numId w:val="2"/>
        </w:numPr>
        <w:ind w:left="425" w:leftChars="0" w:hanging="425" w:firstLineChars="0"/>
        <w:rPr>
          <w:rFonts w:hint="eastAsia"/>
          <w:lang w:val="en-US" w:eastAsia="zh-CN"/>
        </w:rPr>
      </w:pPr>
      <w:r>
        <w:rPr>
          <w:rFonts w:hint="eastAsia"/>
          <w:lang w:val="en-US" w:eastAsia="zh-CN"/>
        </w:rPr>
        <w:t>数据驱动，度量引领</w:t>
      </w:r>
    </w:p>
    <w:p w14:paraId="556E18D4">
      <w:pPr>
        <w:pStyle w:val="29"/>
        <w:rPr>
          <w:rFonts w:hint="eastAsia"/>
          <w:lang w:val="en-US" w:eastAsia="zh-CN"/>
        </w:rPr>
      </w:pPr>
      <w:r>
        <w:rPr>
          <w:rFonts w:hint="eastAsia"/>
          <w:lang w:val="en-US" w:eastAsia="zh-CN"/>
        </w:rPr>
        <w:t>改进不能凭感觉。必须建立完善的度量体系（Metrics），围绕可用性、可靠性、效率、成本等核心维度（如MTTR、MTBF、变更成功率、资源利用率等）收集数据。通过数据分析精准定位瓶颈、评估改进效果，确保每一次优化都有的放矢，并能量化其业务价值。</w:t>
      </w:r>
    </w:p>
    <w:p w14:paraId="1F71146B">
      <w:pPr>
        <w:pStyle w:val="29"/>
        <w:numPr>
          <w:ilvl w:val="0"/>
          <w:numId w:val="2"/>
        </w:numPr>
        <w:ind w:left="425" w:leftChars="0" w:hanging="425" w:firstLineChars="0"/>
        <w:rPr>
          <w:rFonts w:hint="eastAsia"/>
          <w:lang w:val="en-US" w:eastAsia="zh-CN"/>
        </w:rPr>
      </w:pPr>
      <w:r>
        <w:rPr>
          <w:rFonts w:hint="eastAsia"/>
          <w:lang w:val="en-US" w:eastAsia="zh-CN"/>
        </w:rPr>
        <w:t>闭环反馈，持续迭代</w:t>
      </w:r>
    </w:p>
    <w:p w14:paraId="63E80950">
      <w:pPr>
        <w:pStyle w:val="29"/>
        <w:rPr>
          <w:rFonts w:hint="eastAsia"/>
          <w:lang w:val="en-US" w:eastAsia="zh-CN"/>
        </w:rPr>
      </w:pPr>
      <w:r>
        <w:rPr>
          <w:rFonts w:hint="eastAsia"/>
          <w:lang w:val="en-US" w:eastAsia="zh-CN"/>
        </w:rPr>
        <w:t>建立从“规划-实施-检查-行动”（PDCA）的完整闭环。将所有事件、问题、变更甚至客户反馈都视为改进的来源。通过根本原因分析（RCA）、事后复盘（Post-mortem）等机制，将教训转化为具体的改进项，并跟踪落实，形成持续迭代的良性循环。</w:t>
      </w:r>
    </w:p>
    <w:p w14:paraId="27F8AC01">
      <w:pPr>
        <w:pStyle w:val="28"/>
        <w:bidi w:val="0"/>
      </w:pPr>
      <w:bookmarkStart w:id="4" w:name="_Toc26255"/>
      <w:r>
        <w:rPr>
          <w:rFonts w:hint="eastAsia"/>
          <w:lang w:val="en-US" w:eastAsia="zh-CN"/>
        </w:rPr>
        <w:t>适用</w:t>
      </w:r>
      <w:r>
        <w:t>范围</w:t>
      </w:r>
      <w:bookmarkEnd w:id="4"/>
    </w:p>
    <w:p w14:paraId="358E6CCC">
      <w:pPr>
        <w:pStyle w:val="29"/>
        <w:bidi w:val="0"/>
      </w:pPr>
      <w:r>
        <w:t>适用于运维服务能力的过程改进。</w:t>
      </w:r>
    </w:p>
    <w:p w14:paraId="453E73CF">
      <w:pPr>
        <w:pStyle w:val="28"/>
        <w:bidi w:val="0"/>
        <w:rPr>
          <w:rFonts w:hint="eastAsia"/>
          <w:lang w:val="en-US" w:eastAsia="zh-CN"/>
        </w:rPr>
      </w:pPr>
      <w:bookmarkStart w:id="5" w:name="_Toc24261"/>
      <w:r>
        <w:rPr>
          <w:rFonts w:hint="eastAsia"/>
          <w:lang w:val="en-US" w:eastAsia="zh-CN"/>
        </w:rPr>
        <w:t>岗位职责</w:t>
      </w:r>
      <w:bookmarkEnd w:id="5"/>
    </w:p>
    <w:p w14:paraId="7BF8C96F">
      <w:pPr>
        <w:pStyle w:val="30"/>
        <w:bidi w:val="0"/>
      </w:pPr>
      <w:bookmarkStart w:id="6" w:name="_Toc16255"/>
      <w:r>
        <w:t>管理层</w:t>
      </w:r>
      <w:bookmarkEnd w:id="6"/>
    </w:p>
    <w:p w14:paraId="7BCB01DA">
      <w:pPr>
        <w:numPr>
          <w:ilvl w:val="0"/>
          <w:numId w:val="3"/>
        </w:numPr>
        <w:spacing w:before="199" w:line="236" w:lineRule="auto"/>
        <w:ind w:left="425" w:leftChars="0" w:hanging="425" w:firstLineChars="0"/>
        <w:rPr>
          <w:rFonts w:ascii="仿宋" w:hAnsi="仿宋" w:eastAsia="仿宋" w:cs="仿宋"/>
          <w:sz w:val="24"/>
          <w:szCs w:val="24"/>
        </w:rPr>
      </w:pPr>
      <w:r>
        <w:rPr>
          <w:rFonts w:ascii="仿宋" w:hAnsi="仿宋" w:eastAsia="仿宋" w:cs="仿宋"/>
          <w:sz w:val="24"/>
          <w:szCs w:val="24"/>
        </w:rPr>
        <w:t>全力支持过程改进工作，保证过程改进工作符合公司制定的目标；</w:t>
      </w:r>
    </w:p>
    <w:p w14:paraId="3B61B7F9">
      <w:pPr>
        <w:numPr>
          <w:ilvl w:val="0"/>
          <w:numId w:val="3"/>
        </w:numPr>
        <w:spacing w:before="161" w:line="237" w:lineRule="auto"/>
        <w:ind w:left="425" w:leftChars="0" w:hanging="425" w:firstLineChars="0"/>
        <w:rPr>
          <w:rFonts w:ascii="仿宋" w:hAnsi="仿宋" w:eastAsia="仿宋" w:cs="仿宋"/>
          <w:sz w:val="24"/>
          <w:szCs w:val="24"/>
        </w:rPr>
      </w:pPr>
      <w:r>
        <w:rPr>
          <w:rFonts w:ascii="仿宋" w:hAnsi="仿宋" w:eastAsia="仿宋" w:cs="仿宋"/>
          <w:spacing w:val="-3"/>
          <w:sz w:val="24"/>
          <w:szCs w:val="24"/>
        </w:rPr>
        <w:t>保证过程改进活动所需资源；</w:t>
      </w:r>
    </w:p>
    <w:p w14:paraId="1B19BB34">
      <w:pPr>
        <w:numPr>
          <w:ilvl w:val="0"/>
          <w:numId w:val="3"/>
        </w:numPr>
        <w:spacing w:before="158" w:line="236" w:lineRule="auto"/>
        <w:ind w:left="425" w:leftChars="0" w:hanging="425" w:firstLineChars="0"/>
        <w:rPr>
          <w:rFonts w:ascii="仿宋" w:hAnsi="仿宋" w:eastAsia="仿宋" w:cs="仿宋"/>
          <w:sz w:val="24"/>
          <w:szCs w:val="24"/>
        </w:rPr>
      </w:pPr>
      <w:r>
        <w:rPr>
          <w:rFonts w:ascii="仿宋" w:hAnsi="仿宋" w:eastAsia="仿宋" w:cs="仿宋"/>
          <w:spacing w:val="-2"/>
          <w:sz w:val="24"/>
          <w:szCs w:val="24"/>
        </w:rPr>
        <w:t>协调解决过程改进工作中出现的重大问题；</w:t>
      </w:r>
    </w:p>
    <w:p w14:paraId="64A4C701">
      <w:pPr>
        <w:numPr>
          <w:ilvl w:val="0"/>
          <w:numId w:val="3"/>
        </w:numPr>
        <w:spacing w:before="162" w:line="237" w:lineRule="auto"/>
        <w:ind w:left="425" w:leftChars="0" w:hanging="425" w:firstLineChars="0"/>
        <w:rPr>
          <w:rFonts w:ascii="仿宋" w:hAnsi="仿宋" w:eastAsia="仿宋" w:cs="仿宋"/>
          <w:sz w:val="24"/>
          <w:szCs w:val="24"/>
        </w:rPr>
      </w:pPr>
      <w:r>
        <w:rPr>
          <w:rFonts w:ascii="仿宋" w:hAnsi="仿宋" w:eastAsia="仿宋" w:cs="仿宋"/>
          <w:spacing w:val="-2"/>
          <w:sz w:val="24"/>
          <w:szCs w:val="24"/>
        </w:rPr>
        <w:t>批准运维服务能力改进计划及其优先级；</w:t>
      </w:r>
    </w:p>
    <w:p w14:paraId="64AE0632">
      <w:pPr>
        <w:numPr>
          <w:ilvl w:val="0"/>
          <w:numId w:val="3"/>
        </w:numPr>
        <w:spacing w:before="156" w:line="237" w:lineRule="auto"/>
        <w:ind w:left="425" w:leftChars="0" w:hanging="425" w:firstLineChars="0"/>
        <w:rPr>
          <w:rFonts w:ascii="仿宋" w:hAnsi="仿宋" w:eastAsia="仿宋" w:cs="仿宋"/>
          <w:sz w:val="24"/>
          <w:szCs w:val="24"/>
        </w:rPr>
      </w:pPr>
      <w:r>
        <w:rPr>
          <w:rFonts w:ascii="仿宋" w:hAnsi="仿宋" w:eastAsia="仿宋" w:cs="仿宋"/>
          <w:sz w:val="24"/>
          <w:szCs w:val="24"/>
        </w:rPr>
        <w:t>从</w:t>
      </w:r>
      <w:r>
        <w:rPr>
          <w:rFonts w:hint="eastAsia" w:ascii="仿宋" w:hAnsi="仿宋" w:eastAsia="仿宋" w:cs="仿宋"/>
          <w:sz w:val="24"/>
          <w:szCs w:val="24"/>
          <w:lang w:val="en-US" w:eastAsia="zh-CN"/>
        </w:rPr>
        <w:t>人员、资源、技术、过程、交付、应急</w:t>
      </w:r>
      <w:r>
        <w:rPr>
          <w:rFonts w:ascii="仿宋" w:hAnsi="仿宋" w:eastAsia="仿宋" w:cs="仿宋"/>
          <w:sz w:val="24"/>
          <w:szCs w:val="24"/>
        </w:rPr>
        <w:t>等各方面确保相关员工参与过程改进活动。</w:t>
      </w:r>
    </w:p>
    <w:p w14:paraId="0DFA5656">
      <w:pPr>
        <w:pStyle w:val="30"/>
        <w:bidi w:val="0"/>
      </w:pPr>
      <w:bookmarkStart w:id="7" w:name="bookmark7"/>
      <w:bookmarkEnd w:id="7"/>
      <w:bookmarkStart w:id="8" w:name="_Toc23280"/>
      <w:r>
        <w:rPr>
          <w:rFonts w:hint="eastAsia"/>
          <w:lang w:val="en-US" w:eastAsia="zh-CN"/>
        </w:rPr>
        <w:t>质量</w:t>
      </w:r>
      <w:r>
        <w:t>部</w:t>
      </w:r>
      <w:bookmarkEnd w:id="8"/>
    </w:p>
    <w:p w14:paraId="6C9B8FF8">
      <w:pPr>
        <w:pStyle w:val="29"/>
        <w:numPr>
          <w:ilvl w:val="0"/>
          <w:numId w:val="4"/>
        </w:numPr>
        <w:bidi w:val="0"/>
        <w:ind w:left="425" w:leftChars="0" w:hanging="425" w:firstLineChars="0"/>
      </w:pPr>
      <w:r>
        <w:t>负责策划、指导、推动过程改进工作；</w:t>
      </w:r>
    </w:p>
    <w:p w14:paraId="170CD380">
      <w:pPr>
        <w:pStyle w:val="29"/>
        <w:numPr>
          <w:ilvl w:val="0"/>
          <w:numId w:val="4"/>
        </w:numPr>
        <w:bidi w:val="0"/>
        <w:ind w:left="425" w:leftChars="0" w:hanging="425" w:firstLineChars="0"/>
      </w:pPr>
      <w:r>
        <w:t>负责内部评审、管理评审的组织工作；</w:t>
      </w:r>
    </w:p>
    <w:p w14:paraId="747C355B">
      <w:pPr>
        <w:pStyle w:val="29"/>
        <w:numPr>
          <w:ilvl w:val="0"/>
          <w:numId w:val="4"/>
        </w:numPr>
        <w:bidi w:val="0"/>
        <w:ind w:left="425" w:leftChars="0" w:hanging="425" w:firstLineChars="0"/>
      </w:pPr>
      <w:r>
        <w:t>搜集运维过程改进建议，制定《运维服务能力改进计划》并跟踪验证其实施效果。</w:t>
      </w:r>
    </w:p>
    <w:p w14:paraId="571EDB67">
      <w:pPr>
        <w:pStyle w:val="30"/>
        <w:bidi w:val="0"/>
      </w:pPr>
      <w:bookmarkStart w:id="9" w:name="bookmark8"/>
      <w:bookmarkEnd w:id="9"/>
      <w:bookmarkStart w:id="10" w:name="_Toc17071"/>
      <w:r>
        <w:rPr>
          <w:rFonts w:hint="eastAsia"/>
          <w:lang w:val="en-US" w:eastAsia="zh-CN"/>
        </w:rPr>
        <w:t>其他运维</w:t>
      </w:r>
      <w:r>
        <w:t>部门</w:t>
      </w:r>
      <w:bookmarkEnd w:id="10"/>
    </w:p>
    <w:p w14:paraId="794F98C0">
      <w:pPr>
        <w:pStyle w:val="39"/>
        <w:numPr>
          <w:ilvl w:val="0"/>
          <w:numId w:val="5"/>
        </w:numPr>
        <w:bidi w:val="0"/>
        <w:ind w:left="425" w:leftChars="0" w:hanging="425" w:firstLineChars="0"/>
      </w:pPr>
      <w:r>
        <w:t>提供运维服务能力过程改进建议；</w:t>
      </w:r>
    </w:p>
    <w:p w14:paraId="65A09B13">
      <w:pPr>
        <w:pStyle w:val="39"/>
        <w:numPr>
          <w:ilvl w:val="0"/>
          <w:numId w:val="5"/>
        </w:numPr>
        <w:bidi w:val="0"/>
        <w:ind w:left="425" w:leftChars="0" w:hanging="425" w:firstLineChars="0"/>
      </w:pPr>
      <w:r>
        <w:t>对项目全面负责，并在项目中贯彻过程改进的要求；</w:t>
      </w:r>
    </w:p>
    <w:p w14:paraId="3B308225">
      <w:pPr>
        <w:pStyle w:val="39"/>
        <w:numPr>
          <w:ilvl w:val="0"/>
          <w:numId w:val="5"/>
        </w:numPr>
        <w:bidi w:val="0"/>
        <w:ind w:left="425" w:leftChars="0" w:hanging="425" w:firstLineChars="0"/>
        <w:rPr>
          <w:rFonts w:hint="eastAsia"/>
          <w:lang w:val="en-US" w:eastAsia="zh-CN"/>
        </w:rPr>
      </w:pPr>
      <w:r>
        <w:t>参与过程文档的编写和评审。</w:t>
      </w:r>
    </w:p>
    <w:p w14:paraId="2CF5358A">
      <w:pPr>
        <w:pStyle w:val="28"/>
        <w:bidi w:val="0"/>
        <w:rPr>
          <w:rFonts w:hint="default"/>
          <w:lang w:val="en-US" w:eastAsia="zh-CN"/>
        </w:rPr>
      </w:pPr>
      <w:bookmarkStart w:id="11" w:name="_Toc17521"/>
      <w:r>
        <w:rPr>
          <w:rFonts w:hint="eastAsia"/>
          <w:lang w:val="en-US" w:eastAsia="zh-CN"/>
        </w:rPr>
        <w:t>能力改进实施</w:t>
      </w:r>
      <w:bookmarkEnd w:id="11"/>
    </w:p>
    <w:p w14:paraId="7CAB7E7F">
      <w:pPr>
        <w:pStyle w:val="29"/>
        <w:rPr>
          <w:rFonts w:hint="eastAsia"/>
          <w:lang w:val="en-US" w:eastAsia="zh-CN"/>
        </w:rPr>
      </w:pPr>
      <w:r>
        <w:rPr>
          <w:rFonts w:hint="eastAsia"/>
          <w:lang w:val="en-US" w:eastAsia="zh-CN"/>
        </w:rPr>
        <w:t>运维服务能力改进流程如图5-1所示</w:t>
      </w:r>
    </w:p>
    <w:p w14:paraId="0894E9ED">
      <w:pPr>
        <w:pStyle w:val="29"/>
        <w:jc w:val="center"/>
        <w:rPr>
          <w:rFonts w:hint="default"/>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运维服务能力改进流程</w:t>
      </w:r>
    </w:p>
    <w:p w14:paraId="5C9AE744">
      <w:pPr>
        <w:pStyle w:val="29"/>
        <w:rPr>
          <w:rFonts w:hint="default"/>
          <w:lang w:val="en-US" w:eastAsia="zh-CN"/>
        </w:rPr>
      </w:pPr>
      <w:r>
        <w:rPr>
          <w:rFonts w:hint="default"/>
          <w:lang w:val="en-US" w:eastAsia="zh-CN"/>
        </w:rPr>
        <w:object>
          <v:shape id="_x0000_i1025" o:spt="75" type="#_x0000_t75" style="height:352.6pt;width:315.35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2289359B">
      <w:pPr>
        <w:pStyle w:val="30"/>
        <w:bidi w:val="0"/>
        <w:rPr>
          <w:rFonts w:hint="default"/>
          <w:lang w:val="en-US" w:eastAsia="zh-CN"/>
        </w:rPr>
      </w:pPr>
      <w:bookmarkStart w:id="12" w:name="_Toc7834"/>
      <w:r>
        <w:rPr>
          <w:rFonts w:hint="eastAsia"/>
          <w:lang w:val="en-US" w:eastAsia="zh-CN"/>
        </w:rPr>
        <w:t>流程说明</w:t>
      </w:r>
      <w:bookmarkEnd w:id="12"/>
    </w:p>
    <w:p w14:paraId="16B64577">
      <w:pPr>
        <w:pStyle w:val="31"/>
        <w:bidi w:val="0"/>
        <w:rPr>
          <w:rFonts w:hint="default"/>
          <w:lang w:val="en-US" w:eastAsia="zh-CN"/>
        </w:rPr>
      </w:pPr>
      <w:bookmarkStart w:id="13" w:name="_Toc4734"/>
      <w:r>
        <w:rPr>
          <w:rFonts w:hint="eastAsia"/>
          <w:lang w:val="en-US" w:eastAsia="zh-CN"/>
        </w:rPr>
        <w:t>识别过程改进</w:t>
      </w:r>
      <w:bookmarkEnd w:id="13"/>
    </w:p>
    <w:p w14:paraId="7F9CE6FC">
      <w:pPr>
        <w:pStyle w:val="29"/>
        <w:bidi w:val="0"/>
        <w:rPr>
          <w:rFonts w:ascii="仿宋" w:hAnsi="仿宋" w:eastAsia="仿宋" w:cs="仿宋"/>
          <w:szCs w:val="24"/>
        </w:rPr>
      </w:pPr>
      <w:r>
        <w:t>全公司应该参与过程改进识别工作，通过各种渠道和方式收集改进信息。收集的渠道、方式一般包括：</w:t>
      </w:r>
    </w:p>
    <w:p w14:paraId="061AF617">
      <w:pPr>
        <w:pStyle w:val="39"/>
        <w:numPr>
          <w:ilvl w:val="0"/>
          <w:numId w:val="6"/>
        </w:numPr>
        <w:bidi w:val="0"/>
        <w:ind w:left="425" w:leftChars="0" w:hanging="425" w:firstLineChars="0"/>
      </w:pPr>
      <w:r>
        <w:t>来自公司的</w:t>
      </w:r>
      <w:r>
        <w:rPr>
          <w:rFonts w:hint="eastAsia"/>
          <w:lang w:val="en-US" w:eastAsia="zh-CN"/>
        </w:rPr>
        <w:t>运营</w:t>
      </w:r>
      <w:r>
        <w:t>发展目标、高层期望、商业目标等；</w:t>
      </w:r>
    </w:p>
    <w:p w14:paraId="575DDB4B">
      <w:pPr>
        <w:pStyle w:val="39"/>
        <w:numPr>
          <w:ilvl w:val="0"/>
          <w:numId w:val="6"/>
        </w:numPr>
        <w:bidi w:val="0"/>
        <w:ind w:left="425" w:leftChars="0" w:hanging="425" w:firstLineChars="0"/>
      </w:pPr>
      <w:r>
        <w:t>组织过程的改进目标；</w:t>
      </w:r>
    </w:p>
    <w:p w14:paraId="3E1F6154">
      <w:pPr>
        <w:pStyle w:val="39"/>
        <w:numPr>
          <w:ilvl w:val="0"/>
          <w:numId w:val="6"/>
        </w:numPr>
        <w:bidi w:val="0"/>
        <w:ind w:left="425" w:leftChars="0" w:hanging="425" w:firstLineChars="0"/>
      </w:pPr>
      <w:r>
        <w:t>通过常规性内部审核、外部第三方审核、管理评审和各种持续的差距分析活动，不断发现组织过程的薄弱环节以及长项和优秀实践，同时并对过程改进进行跟踪，识别改进的机会；</w:t>
      </w:r>
    </w:p>
    <w:p w14:paraId="5AE16A9B">
      <w:pPr>
        <w:pStyle w:val="39"/>
        <w:numPr>
          <w:ilvl w:val="0"/>
          <w:numId w:val="6"/>
        </w:numPr>
        <w:bidi w:val="0"/>
        <w:ind w:left="425" w:leftChars="0" w:hanging="425" w:firstLineChars="0"/>
      </w:pPr>
      <w:r>
        <w:t>找出顾客的不满意、产品未满足要求、过程不稳定等事项，分析识别改进机会并发现组织过程的长项和优秀实践；</w:t>
      </w:r>
    </w:p>
    <w:p w14:paraId="63FF02A3">
      <w:pPr>
        <w:pStyle w:val="39"/>
        <w:numPr>
          <w:ilvl w:val="0"/>
          <w:numId w:val="6"/>
        </w:numPr>
        <w:bidi w:val="0"/>
        <w:ind w:left="425" w:leftChars="0" w:hanging="425" w:firstLineChars="0"/>
      </w:pPr>
      <w:r>
        <w:t>从监控组织和项目的过程活动得出的经验教训中分析识别改进机会；</w:t>
      </w:r>
    </w:p>
    <w:p w14:paraId="0A21C581">
      <w:pPr>
        <w:pStyle w:val="39"/>
        <w:numPr>
          <w:ilvl w:val="0"/>
          <w:numId w:val="6"/>
        </w:numPr>
        <w:bidi w:val="0"/>
        <w:ind w:left="425" w:leftChars="0" w:hanging="425" w:firstLineChars="0"/>
      </w:pPr>
      <w:r>
        <w:t>在日常工作中发现不符合或潜在不符合的事实并识别长项和优秀实践，分析识别改进机会。</w:t>
      </w:r>
    </w:p>
    <w:p w14:paraId="14EDC4B7">
      <w:pPr>
        <w:pStyle w:val="39"/>
        <w:numPr>
          <w:ilvl w:val="0"/>
          <w:numId w:val="6"/>
        </w:numPr>
        <w:bidi w:val="0"/>
        <w:ind w:left="425" w:leftChars="0" w:hanging="425" w:firstLineChars="0"/>
      </w:pPr>
      <w:r>
        <w:t>在公司制定长远发展目标和总体改进目标、确立了运维服务能力的标准过程模型和改进计划之后，</w:t>
      </w:r>
      <w:r>
        <w:rPr>
          <w:rFonts w:hint="eastAsia"/>
          <w:lang w:eastAsia="zh-CN"/>
        </w:rPr>
        <w:t>质量部</w:t>
      </w:r>
      <w:r>
        <w:t>定期对收集的信息进行综合分析，识别组织过程的薄弱环节以及长项和优秀实践，确定改进的时机，重新修订改进计划，实施改进，并按照项目管理的方式对改进过程实施周期性的跟踪监控。</w:t>
      </w:r>
    </w:p>
    <w:p w14:paraId="3D63993A">
      <w:pPr>
        <w:pStyle w:val="31"/>
        <w:bidi w:val="0"/>
      </w:pPr>
      <w:bookmarkStart w:id="14" w:name="bookmark12"/>
      <w:bookmarkEnd w:id="14"/>
      <w:bookmarkStart w:id="15" w:name="_Toc3496"/>
      <w:r>
        <w:t>过程改进策划</w:t>
      </w:r>
      <w:bookmarkEnd w:id="15"/>
    </w:p>
    <w:p w14:paraId="17140FAE">
      <w:pPr>
        <w:pStyle w:val="29"/>
        <w:numPr>
          <w:ilvl w:val="0"/>
          <w:numId w:val="0"/>
        </w:numPr>
        <w:bidi w:val="0"/>
        <w:ind w:leftChars="200"/>
      </w:pPr>
      <w:r>
        <w:rPr>
          <w:rFonts w:hint="eastAsia"/>
          <w:lang w:eastAsia="zh-CN"/>
        </w:rPr>
        <w:t>质量部</w:t>
      </w:r>
      <w:r>
        <w:t>根据识别的结果组织策划过程改进活动，策划内容主要表现为：</w:t>
      </w:r>
    </w:p>
    <w:p w14:paraId="3FBBFCCE">
      <w:pPr>
        <w:pStyle w:val="39"/>
        <w:numPr>
          <w:ilvl w:val="0"/>
          <w:numId w:val="7"/>
        </w:numPr>
        <w:bidi w:val="0"/>
      </w:pPr>
      <w:r>
        <w:t>确定改进的目标和总体要求；</w:t>
      </w:r>
    </w:p>
    <w:p w14:paraId="415C45AD">
      <w:pPr>
        <w:pStyle w:val="39"/>
        <w:numPr>
          <w:ilvl w:val="0"/>
          <w:numId w:val="7"/>
        </w:numPr>
        <w:bidi w:val="0"/>
      </w:pPr>
      <w:r>
        <w:t>确定过程改进的活动/步骤；</w:t>
      </w:r>
    </w:p>
    <w:p w14:paraId="5F6F4C8B">
      <w:pPr>
        <w:pStyle w:val="39"/>
        <w:numPr>
          <w:ilvl w:val="0"/>
          <w:numId w:val="7"/>
        </w:numPr>
        <w:bidi w:val="0"/>
      </w:pPr>
      <w:r>
        <w:t>过程的定义或修订：根据改进的目标和要求、确定过程改进需要定义或修订的过程文件；</w:t>
      </w:r>
    </w:p>
    <w:p w14:paraId="06D1D0CF">
      <w:pPr>
        <w:pStyle w:val="39"/>
        <w:numPr>
          <w:ilvl w:val="0"/>
          <w:numId w:val="7"/>
        </w:numPr>
        <w:bidi w:val="0"/>
      </w:pPr>
      <w:r>
        <w:t>试点：对于涉及面广、风险较大的改进活动，应选择合适的项目进行试点运行，进行培训、试点评估等；</w:t>
      </w:r>
    </w:p>
    <w:p w14:paraId="240DD7A4">
      <w:pPr>
        <w:pStyle w:val="39"/>
        <w:numPr>
          <w:ilvl w:val="0"/>
          <w:numId w:val="7"/>
        </w:numPr>
        <w:bidi w:val="0"/>
      </w:pPr>
      <w:r>
        <w:t>正式运行：运行中及时予以培训，在运行一段时间后（如 3个月）进行效果评估。</w:t>
      </w:r>
    </w:p>
    <w:p w14:paraId="52C9EDEF">
      <w:pPr>
        <w:pStyle w:val="39"/>
        <w:numPr>
          <w:ilvl w:val="0"/>
          <w:numId w:val="8"/>
        </w:numPr>
        <w:bidi w:val="0"/>
      </w:pPr>
      <w:r>
        <w:t>确定负责这些活动的小组或个人；</w:t>
      </w:r>
    </w:p>
    <w:p w14:paraId="36D61BA5">
      <w:pPr>
        <w:pStyle w:val="39"/>
        <w:numPr>
          <w:ilvl w:val="0"/>
          <w:numId w:val="8"/>
        </w:numPr>
        <w:bidi w:val="0"/>
      </w:pPr>
      <w:r>
        <w:t>确定实施这些活动的进度；</w:t>
      </w:r>
    </w:p>
    <w:p w14:paraId="2FE3EA7C">
      <w:pPr>
        <w:pStyle w:val="39"/>
        <w:numPr>
          <w:ilvl w:val="0"/>
          <w:numId w:val="8"/>
        </w:numPr>
        <w:bidi w:val="0"/>
      </w:pPr>
      <w:r>
        <w:t>确定所要求的资源，如资金和工具；</w:t>
      </w:r>
    </w:p>
    <w:p w14:paraId="68EA6168">
      <w:pPr>
        <w:pStyle w:val="39"/>
        <w:numPr>
          <w:ilvl w:val="0"/>
          <w:numId w:val="8"/>
        </w:numPr>
        <w:bidi w:val="0"/>
      </w:pPr>
      <w:r>
        <w:t>识别风险；</w:t>
      </w:r>
    </w:p>
    <w:p w14:paraId="2BB7156B">
      <w:pPr>
        <w:pStyle w:val="39"/>
        <w:numPr>
          <w:ilvl w:val="0"/>
          <w:numId w:val="8"/>
        </w:numPr>
        <w:bidi w:val="0"/>
        <w:rPr>
          <w:rFonts w:ascii="仿宋" w:hAnsi="仿宋" w:eastAsia="仿宋" w:cs="仿宋"/>
          <w:szCs w:val="24"/>
        </w:rPr>
      </w:pPr>
      <w:r>
        <w:t>确定关键控制点/里程碑点等</w:t>
      </w:r>
      <w:r>
        <w:rPr>
          <w:rFonts w:ascii="仿宋" w:hAnsi="仿宋" w:eastAsia="仿宋" w:cs="仿宋"/>
          <w:spacing w:val="-1"/>
          <w:szCs w:val="24"/>
        </w:rPr>
        <w:t>。</w:t>
      </w:r>
    </w:p>
    <w:p w14:paraId="30F015CC">
      <w:pPr>
        <w:pStyle w:val="29"/>
        <w:bidi w:val="0"/>
      </w:pPr>
      <w:r>
        <w:t>过程改进策划输出《运维服务能力改进计划》，经总经理审核批准后执行，并纳入组织级配置库管理。《运维服务能力改进计划》的变更同样需要经过总经理审核批准后执行，并纳入组织级配置库管理。</w:t>
      </w:r>
    </w:p>
    <w:p w14:paraId="34204799">
      <w:pPr>
        <w:pStyle w:val="31"/>
        <w:bidi w:val="0"/>
      </w:pPr>
      <w:bookmarkStart w:id="16" w:name="bookmark13"/>
      <w:bookmarkEnd w:id="16"/>
      <w:bookmarkStart w:id="17" w:name="_Toc15838"/>
      <w:r>
        <w:t>过程改进实施</w:t>
      </w:r>
      <w:bookmarkEnd w:id="17"/>
    </w:p>
    <w:p w14:paraId="69637CA7">
      <w:pPr>
        <w:pStyle w:val="29"/>
        <w:bidi w:val="0"/>
      </w:pPr>
      <w:r>
        <w:rPr>
          <w:rFonts w:hint="eastAsia"/>
          <w:lang w:eastAsia="zh-CN"/>
        </w:rPr>
        <w:t>质量部</w:t>
      </w:r>
      <w:r>
        <w:t>负责按照已批准的《运维服务能力改进计划》组织各项活动的责任人，负责实施具体的改进活动。过程改进实施过程中，对标准过程体系文件执行严格的发布程序，体系文件必须经过公司领导审批后才能发布，同样对体系文件的变更也要进行公司领导审批后进行发布。在活动实施过程中：</w:t>
      </w:r>
    </w:p>
    <w:p w14:paraId="55EAE9A2">
      <w:pPr>
        <w:pStyle w:val="29"/>
        <w:numPr>
          <w:ilvl w:val="0"/>
          <w:numId w:val="9"/>
        </w:numPr>
        <w:bidi w:val="0"/>
        <w:ind w:left="425" w:leftChars="0" w:hanging="425" w:firstLineChars="0"/>
      </w:pPr>
      <w:r>
        <w:t>试运行过程中对于标准过程体系中不适合的地方，</w:t>
      </w:r>
      <w:r>
        <w:rPr>
          <w:rFonts w:hint="eastAsia"/>
          <w:lang w:eastAsia="zh-CN"/>
        </w:rPr>
        <w:t>质量部</w:t>
      </w:r>
      <w:r>
        <w:t>应听取试点人员的意见，及时修订相关文档；</w:t>
      </w:r>
    </w:p>
    <w:p w14:paraId="21B605F9">
      <w:pPr>
        <w:pStyle w:val="29"/>
        <w:numPr>
          <w:ilvl w:val="0"/>
          <w:numId w:val="9"/>
        </w:numPr>
        <w:bidi w:val="0"/>
        <w:ind w:left="425" w:leftChars="0" w:hanging="425" w:firstLineChars="0"/>
      </w:pPr>
      <w:r>
        <w:rPr>
          <w:rFonts w:hint="eastAsia"/>
          <w:lang w:eastAsia="zh-CN"/>
        </w:rPr>
        <w:t>质量部</w:t>
      </w:r>
      <w:r>
        <w:t>应及时给予指导和答疑，帮助标准过程体系的顺利实施。</w:t>
      </w:r>
    </w:p>
    <w:p w14:paraId="02BC2ED0">
      <w:pPr>
        <w:pStyle w:val="29"/>
        <w:numPr>
          <w:ilvl w:val="0"/>
          <w:numId w:val="9"/>
        </w:numPr>
        <w:bidi w:val="0"/>
        <w:ind w:left="425" w:leftChars="0" w:hanging="425" w:firstLineChars="0"/>
      </w:pPr>
      <w:r>
        <w:t>由</w:t>
      </w:r>
      <w:r>
        <w:rPr>
          <w:rFonts w:hint="eastAsia"/>
          <w:lang w:eastAsia="zh-CN"/>
        </w:rPr>
        <w:t>质量部</w:t>
      </w:r>
      <w:r>
        <w:t>跟踪过程改进，通过项目组和组织的度量分析活动，验证是否达到改进目标、总结经验教训，汇报分管领导及过程改进相关人员，并纳入组织</w:t>
      </w:r>
      <w:r>
        <w:rPr>
          <w:rFonts w:hint="eastAsia"/>
          <w:lang w:eastAsia="zh-CN"/>
        </w:rPr>
        <w:t>服务知识</w:t>
      </w:r>
      <w:r>
        <w:t>进行管理。</w:t>
      </w:r>
    </w:p>
    <w:p w14:paraId="22F24697">
      <w:pPr>
        <w:pStyle w:val="28"/>
        <w:bidi w:val="0"/>
        <w:rPr>
          <w:rStyle w:val="38"/>
          <w:rFonts w:hint="default" w:eastAsia="宋体"/>
          <w:lang w:val="en-US" w:eastAsia="zh-CN"/>
        </w:rPr>
      </w:pPr>
      <w:bookmarkStart w:id="18" w:name="bookmark3"/>
      <w:bookmarkEnd w:id="18"/>
      <w:bookmarkStart w:id="19" w:name="_Toc17424"/>
      <w:bookmarkStart w:id="20" w:name="_Toc5519"/>
      <w:r>
        <w:rPr>
          <w:rStyle w:val="38"/>
          <w:rFonts w:hint="eastAsia" w:eastAsia="宋体"/>
          <w:lang w:val="en-US" w:eastAsia="zh-CN"/>
        </w:rPr>
        <w:t>附则</w:t>
      </w:r>
      <w:bookmarkEnd w:id="19"/>
      <w:bookmarkEnd w:id="20"/>
    </w:p>
    <w:p w14:paraId="649FE2FC">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cs="宋体"/>
          <w:spacing w:val="-1"/>
          <w:sz w:val="24"/>
          <w:szCs w:val="24"/>
          <w:lang w:val="en-US" w:eastAsia="zh-CN"/>
        </w:rPr>
        <w:t>质量部</w:t>
      </w:r>
      <w:r>
        <w:rPr>
          <w:rFonts w:ascii="宋体" w:hAnsi="宋体" w:eastAsia="宋体" w:cs="宋体"/>
          <w:spacing w:val="-1"/>
          <w:sz w:val="24"/>
          <w:szCs w:val="24"/>
        </w:rPr>
        <w:t>。</w:t>
      </w:r>
    </w:p>
    <w:p w14:paraId="08CB8A4A">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7F026F38">
      <w:pPr>
        <w:pStyle w:val="28"/>
        <w:bidi w:val="0"/>
        <w:rPr>
          <w:rFonts w:hint="default"/>
          <w:lang w:val="en-US" w:eastAsia="zh-CN"/>
        </w:rPr>
      </w:pPr>
      <w:bookmarkStart w:id="21" w:name="bookmark14"/>
      <w:bookmarkEnd w:id="21"/>
      <w:bookmarkStart w:id="22" w:name="_Toc11573"/>
      <w:r>
        <w:rPr>
          <w:rFonts w:hint="eastAsia"/>
          <w:lang w:val="en-US" w:eastAsia="zh-CN"/>
        </w:rPr>
        <w:t>附件</w:t>
      </w:r>
      <w:bookmarkEnd w:id="22"/>
    </w:p>
    <w:p w14:paraId="4A582012">
      <w:pPr>
        <w:pStyle w:val="29"/>
        <w:rPr>
          <w:rFonts w:hint="default"/>
          <w:lang w:val="en-US" w:eastAsia="zh-CN"/>
        </w:rPr>
      </w:pPr>
      <w:r>
        <w:rPr>
          <w:rFonts w:hint="eastAsia"/>
          <w:lang w:val="en-US" w:eastAsia="zh-CN"/>
        </w:rPr>
        <w:t>无</w:t>
      </w:r>
    </w:p>
    <w:p w14:paraId="1FB429CC">
      <w:pPr>
        <w:pStyle w:val="29"/>
        <w:rPr>
          <w:rFonts w:hint="default"/>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C14FF">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286689B"/>
    <w:multiLevelType w:val="singleLevel"/>
    <w:tmpl w:val="A286689B"/>
    <w:lvl w:ilvl="0" w:tentative="0">
      <w:start w:val="1"/>
      <w:numFmt w:val="decimal"/>
      <w:lvlText w:val="%1."/>
      <w:lvlJc w:val="left"/>
      <w:pPr>
        <w:ind w:left="425" w:hanging="425"/>
      </w:pPr>
      <w:rPr>
        <w:rFonts w:hint="default"/>
      </w:rPr>
    </w:lvl>
  </w:abstractNum>
  <w:abstractNum w:abstractNumId="2">
    <w:nsid w:val="D7DB57CC"/>
    <w:multiLevelType w:val="singleLevel"/>
    <w:tmpl w:val="D7DB57CC"/>
    <w:lvl w:ilvl="0" w:tentative="0">
      <w:start w:val="1"/>
      <w:numFmt w:val="decimal"/>
      <w:lvlText w:val="%1."/>
      <w:lvlJc w:val="left"/>
      <w:pPr>
        <w:ind w:left="425" w:hanging="425"/>
      </w:pPr>
      <w:rPr>
        <w:rFonts w:hint="default"/>
      </w:rPr>
    </w:lvl>
  </w:abstractNum>
  <w:abstractNum w:abstractNumId="3">
    <w:nsid w:val="E650C030"/>
    <w:multiLevelType w:val="singleLevel"/>
    <w:tmpl w:val="E650C030"/>
    <w:lvl w:ilvl="0" w:tentative="0">
      <w:start w:val="1"/>
      <w:numFmt w:val="decimal"/>
      <w:lvlText w:val="%1."/>
      <w:lvlJc w:val="left"/>
      <w:pPr>
        <w:ind w:left="425" w:hanging="425"/>
      </w:pPr>
      <w:rPr>
        <w:rFonts w:hint="default"/>
      </w:rPr>
    </w:lvl>
  </w:abstractNum>
  <w:abstractNum w:abstractNumId="4">
    <w:nsid w:val="F9539CF3"/>
    <w:multiLevelType w:val="singleLevel"/>
    <w:tmpl w:val="F9539CF3"/>
    <w:lvl w:ilvl="0" w:tentative="0">
      <w:start w:val="1"/>
      <w:numFmt w:val="decimal"/>
      <w:lvlText w:val="%1."/>
      <w:lvlJc w:val="left"/>
      <w:pPr>
        <w:ind w:left="425" w:hanging="425"/>
      </w:pPr>
      <w:rPr>
        <w:rFonts w:hint="default"/>
      </w:rPr>
    </w:lvl>
  </w:abstractNum>
  <w:abstractNum w:abstractNumId="5">
    <w:nsid w:val="0B284C1D"/>
    <w:multiLevelType w:val="singleLevel"/>
    <w:tmpl w:val="0B284C1D"/>
    <w:lvl w:ilvl="0" w:tentative="0">
      <w:start w:val="1"/>
      <w:numFmt w:val="decimal"/>
      <w:lvlText w:val="%1."/>
      <w:lvlJc w:val="left"/>
      <w:pPr>
        <w:ind w:left="425" w:hanging="425"/>
      </w:pPr>
      <w:rPr>
        <w:rFonts w:hint="default"/>
      </w:rPr>
    </w:lvl>
  </w:abstractNum>
  <w:abstractNum w:abstractNumId="6">
    <w:nsid w:val="28C883C4"/>
    <w:multiLevelType w:val="singleLevel"/>
    <w:tmpl w:val="28C883C4"/>
    <w:lvl w:ilvl="0" w:tentative="0">
      <w:start w:val="1"/>
      <w:numFmt w:val="decimal"/>
      <w:lvlText w:val="(%1)"/>
      <w:lvlJc w:val="left"/>
      <w:pPr>
        <w:tabs>
          <w:tab w:val="left" w:pos="420"/>
        </w:tabs>
        <w:ind w:left="845" w:hanging="425"/>
      </w:pPr>
      <w:rPr>
        <w:rFonts w:hint="default"/>
      </w:rPr>
    </w:lvl>
  </w:abstractNum>
  <w:abstractNum w:abstractNumId="7">
    <w:nsid w:val="5D665BE7"/>
    <w:multiLevelType w:val="singleLevel"/>
    <w:tmpl w:val="5D665BE7"/>
    <w:lvl w:ilvl="0" w:tentative="0">
      <w:start w:val="1"/>
      <w:numFmt w:val="decimal"/>
      <w:lvlText w:val="%1."/>
      <w:lvlJc w:val="left"/>
      <w:pPr>
        <w:ind w:left="425" w:hanging="425"/>
      </w:pPr>
      <w:rPr>
        <w:rFonts w:hint="default"/>
      </w:rPr>
    </w:lvl>
  </w:abstractNum>
  <w:abstractNum w:abstractNumId="8">
    <w:nsid w:val="60B5DFAC"/>
    <w:multiLevelType w:val="singleLevel"/>
    <w:tmpl w:val="60B5DFAC"/>
    <w:lvl w:ilvl="0" w:tentative="0">
      <w:start w:val="1"/>
      <w:numFmt w:val="decimal"/>
      <w:lvlText w:val="%1."/>
      <w:lvlJc w:val="left"/>
      <w:pPr>
        <w:ind w:left="425" w:hanging="425"/>
      </w:pPr>
      <w:rPr>
        <w:rFonts w:hint="default"/>
      </w:rPr>
    </w:lvl>
  </w:abstractNum>
  <w:abstractNum w:abstractNumId="9">
    <w:nsid w:val="6C18698D"/>
    <w:multiLevelType w:val="singleLevel"/>
    <w:tmpl w:val="6C18698D"/>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3"/>
  </w:num>
  <w:num w:numId="4">
    <w:abstractNumId w:val="1"/>
  </w:num>
  <w:num w:numId="5">
    <w:abstractNumId w:val="9"/>
  </w:num>
  <w:num w:numId="6">
    <w:abstractNumId w:val="7"/>
  </w:num>
  <w:num w:numId="7">
    <w:abstractNumId w:val="5"/>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2C632B"/>
    <w:rsid w:val="081163FE"/>
    <w:rsid w:val="121D7549"/>
    <w:rsid w:val="17E3592C"/>
    <w:rsid w:val="1F4005D6"/>
    <w:rsid w:val="2A834AE2"/>
    <w:rsid w:val="321C626C"/>
    <w:rsid w:val="33AF45D2"/>
    <w:rsid w:val="3D9372DA"/>
    <w:rsid w:val="3EA21A0C"/>
    <w:rsid w:val="78144598"/>
    <w:rsid w:val="7EB5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1884</Words>
  <Characters>2007</Characters>
  <Lines>0</Lines>
  <Paragraphs>0</Paragraphs>
  <TotalTime>0</TotalTime>
  <ScaleCrop>false</ScaleCrop>
  <LinksUpToDate>false</LinksUpToDate>
  <CharactersWithSpaces>2076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2025-09-18T09:46:09Z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