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-03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20679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19982"/>
      <w:r>
        <w:rPr>
          <w:rFonts w:hint="eastAsia"/>
          <w:lang w:val="en-US" w:eastAsia="zh-CN"/>
        </w:rPr>
        <w:t>运维服务能力指标体系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930834623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930834623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single"/>
                <w:fitText w:val="630" w:id="930834623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930834623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F51183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_Toc20679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_Toc20679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9ADA9A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_Toc19982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运维服务能力指标体系</w:t>
          </w:r>
          <w:r>
            <w:tab/>
          </w:r>
          <w:r>
            <w:fldChar w:fldCharType="begin"/>
          </w:r>
          <w:r>
            <w:instrText xml:space="preserve"> PAGEREF _Toc19982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21EA1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_Toc12869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运维服务能力指标体系</w:t>
          </w:r>
          <w:r>
            <w:tab/>
          </w:r>
          <w:r>
            <w:fldChar w:fldCharType="begin"/>
          </w:r>
          <w:r>
            <w:instrText xml:space="preserve"> PAGEREF _Toc12869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3B578C70">
      <w:pPr>
        <w:rPr>
          <w:rFonts w:hint="eastAsia" w:ascii="Arial" w:hAnsi="Arial" w:eastAsia="Arial" w:cs="Arial"/>
          <w:snapToGrid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01911768">
      <w:pPr>
        <w:pStyle w:val="28"/>
        <w:bidi w:val="0"/>
        <w:rPr>
          <w:rFonts w:hint="eastAsia"/>
          <w:lang w:val="en-US" w:eastAsia="zh-CN"/>
        </w:rPr>
      </w:pPr>
      <w:bookmarkStart w:id="2" w:name="_Toc12869"/>
      <w:r>
        <w:rPr>
          <w:rFonts w:hint="eastAsia"/>
          <w:lang w:val="en-US" w:eastAsia="zh-CN"/>
        </w:rPr>
        <w:t>运维服务能力指标体系</w:t>
      </w:r>
      <w:bookmarkEnd w:id="2"/>
    </w:p>
    <w:p w14:paraId="6EEFD7C0">
      <w:pPr>
        <w:pStyle w:val="29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运维服务能力体系表</w:t>
      </w:r>
    </w:p>
    <w:tbl>
      <w:tblPr>
        <w:tblStyle w:val="26"/>
        <w:tblW w:w="9604" w:type="dxa"/>
        <w:tblInd w:w="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1147"/>
        <w:gridCol w:w="2028"/>
        <w:gridCol w:w="818"/>
        <w:gridCol w:w="3468"/>
        <w:gridCol w:w="609"/>
        <w:gridCol w:w="1070"/>
      </w:tblGrid>
      <w:tr w14:paraId="6225CB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Align w:val="center"/>
          </w:tcPr>
          <w:p w14:paraId="0D012F98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大类</w:t>
            </w:r>
          </w:p>
        </w:tc>
        <w:tc>
          <w:tcPr>
            <w:tcW w:w="1147" w:type="dxa"/>
            <w:vAlign w:val="center"/>
          </w:tcPr>
          <w:p w14:paraId="02536C73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指标类别</w:t>
            </w:r>
          </w:p>
        </w:tc>
        <w:tc>
          <w:tcPr>
            <w:tcW w:w="2028" w:type="dxa"/>
            <w:vAlign w:val="center"/>
          </w:tcPr>
          <w:p w14:paraId="2E817F5B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指标度量项</w:t>
            </w:r>
          </w:p>
        </w:tc>
        <w:tc>
          <w:tcPr>
            <w:tcW w:w="818" w:type="dxa"/>
            <w:vAlign w:val="center"/>
          </w:tcPr>
          <w:p w14:paraId="51CE123C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指标要求</w:t>
            </w:r>
          </w:p>
        </w:tc>
        <w:tc>
          <w:tcPr>
            <w:tcW w:w="3468" w:type="dxa"/>
            <w:vAlign w:val="center"/>
          </w:tcPr>
          <w:p w14:paraId="5DAB545D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计算公式</w:t>
            </w:r>
          </w:p>
        </w:tc>
        <w:tc>
          <w:tcPr>
            <w:tcW w:w="609" w:type="dxa"/>
            <w:vAlign w:val="center"/>
          </w:tcPr>
          <w:p w14:paraId="27CAACAB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  <w:tc>
          <w:tcPr>
            <w:tcW w:w="1070" w:type="dxa"/>
            <w:vAlign w:val="center"/>
          </w:tcPr>
          <w:p w14:paraId="57941414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责任部门</w:t>
            </w:r>
          </w:p>
        </w:tc>
      </w:tr>
      <w:tr w14:paraId="76C3C49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2FAA26B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31FF36D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31BC2E9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人员储备完成率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0531C6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BD7CABA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实际储备人数/计划储备人员总数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69E9341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18B84F1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7EFC761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464" w:type="dxa"/>
            <w:vMerge w:val="continue"/>
            <w:vAlign w:val="center"/>
          </w:tcPr>
          <w:p w14:paraId="6AA1EA88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617A199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3C931D4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招聘人员及时到岗率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53008AF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5911FC5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年度招聘运维人员及时到岗总人数/年度招聘运维总人数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D461B3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7EE1D1E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6ED281A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464" w:type="dxa"/>
            <w:vMerge w:val="continue"/>
            <w:vAlign w:val="center"/>
          </w:tcPr>
          <w:p w14:paraId="6587A7A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07BFC82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49D76722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54BBB9AE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63E4A5C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人员能力合格人数/参与能力评价人员总数*100%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3725ED48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141CAE7D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32AD187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continue"/>
            <w:vAlign w:val="center"/>
          </w:tcPr>
          <w:p w14:paraId="5751CFF8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693D813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78764A5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培训计划完成率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7767D2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7E5A7B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累计培训课程数/计划培训课数*100%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827D16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3926164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12330B7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464" w:type="dxa"/>
            <w:vMerge w:val="continue"/>
            <w:vAlign w:val="center"/>
          </w:tcPr>
          <w:p w14:paraId="39A9D50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A311D6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0CD215F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绩效考核合格率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0151F21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2ABD5EB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绩效考核合格人数/参与考核人员总数*100%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0764C9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38170C9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581FF38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1254E30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资源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64BA75BF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6F33A50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工具使用自评估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次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93C844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≥1次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30C88AC7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工具的使用效果自评估次数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2790CF6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EDE01D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EA386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tcBorders/>
            <w:shd w:val="clear" w:color="auto" w:fill="auto"/>
            <w:vAlign w:val="center"/>
          </w:tcPr>
          <w:p w14:paraId="795B80A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7B4C079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服务台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65AC62C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投诉24小时内有效处理率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5371EBB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2138562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投诉后24小时内有效处理投诉数/投诉总数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A8822D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3B7B025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D93F6D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4" w:type="dxa"/>
            <w:vMerge w:val="continue"/>
            <w:tcBorders/>
            <w:vAlign w:val="center"/>
          </w:tcPr>
          <w:p w14:paraId="5803B82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349FC0D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66EE86B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成功回访事件覆盖率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6C5AD85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≥60%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3776D67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成功回访事件数/事件总数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31D043C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50CD7E7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BE0C9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64" w:type="dxa"/>
            <w:vMerge w:val="continue"/>
            <w:tcBorders/>
            <w:vAlign w:val="center"/>
          </w:tcPr>
          <w:p w14:paraId="455EF912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7469B77E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备件库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504F5799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备件准确率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00155A5E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1B79649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备件准确数量/备件总数量*100%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6781140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7BB80D73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运维部</w:t>
            </w:r>
          </w:p>
        </w:tc>
      </w:tr>
      <w:tr w14:paraId="6F2C1C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tcBorders/>
            <w:vAlign w:val="center"/>
          </w:tcPr>
          <w:p w14:paraId="67A7EF8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14E32BDB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服务知识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2CF13E87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知识利用率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0B7DCB52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6B2B7B02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实际被应用的知识条目数量/知识总条目数量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645E41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67FF53D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58E1C7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tcBorders/>
            <w:vAlign w:val="center"/>
          </w:tcPr>
          <w:p w14:paraId="3A0FC5DD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027DAFD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最终软件库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2360FCF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软件库中软件的可用率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5EF0C2B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15EE884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软件库中软件的可用数/软件库中软件总数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ECE8DE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0B7F217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65C59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64" w:type="dxa"/>
            <w:vMerge w:val="continue"/>
            <w:tcBorders/>
            <w:vAlign w:val="center"/>
          </w:tcPr>
          <w:p w14:paraId="0797021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0BF1198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服务数据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553A014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服务数据的准确率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7DC5CD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F79E35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服务数据的准确数量/服务数据总数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2AD20EE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08D788C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7CC55F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6FA6FBB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7041B45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5E2F51F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DD3F0A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3103271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技术研发成果达成数量/计划研发成果数量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632CFA7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6D25540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研发部</w:t>
            </w:r>
          </w:p>
        </w:tc>
      </w:tr>
      <w:tr w14:paraId="53F3739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64" w:type="dxa"/>
            <w:vMerge w:val="continue"/>
            <w:vAlign w:val="center"/>
          </w:tcPr>
          <w:p w14:paraId="43A03BE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6583867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5A5FE9A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研发资金投入率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3A9F55A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≥85%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2BFC37D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实际投入资金/计划投入资金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7A122E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799727C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研发部</w:t>
            </w:r>
          </w:p>
        </w:tc>
      </w:tr>
      <w:tr w14:paraId="54732EE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273E438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3711A30F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69E8CDE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过程框架设计与服务需求的匹配率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7449EC78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≥85%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3309BA86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过程框架设计与服务需求的匹配率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CBADF34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77E5B4F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655078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continue"/>
            <w:shd w:val="clear" w:color="auto" w:fill="auto"/>
            <w:vAlign w:val="center"/>
          </w:tcPr>
          <w:p w14:paraId="1E7559B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6098C9A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服务级别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62CF790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服务级别达成率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6701CB1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78BB896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达成SLA要求的项目数/项目总数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3B931B2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572395A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029CB0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 w:hRule="atLeast"/>
        </w:trPr>
        <w:tc>
          <w:tcPr>
            <w:tcW w:w="464" w:type="dxa"/>
            <w:vMerge w:val="continue"/>
            <w:vAlign w:val="center"/>
          </w:tcPr>
          <w:p w14:paraId="22B394C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08859AD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29355E5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SLA达成情况按时监控率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7FD7A44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25DCC72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得到及时监控的项目数/项目总数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5A47CCF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59F1F7C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FBE338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3B288F28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356C3D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51CA231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未达成指标分析并制定改进措施比率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3DAE775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AFC94B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监控指标未达标时分析并制定改进措施次数/未达成指标数量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39766D0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C6D47A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6FDEAA5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535BAE60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291E8F5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0933DDF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服务报告按时交付率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348F6D7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5BAE65A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服务报告按时交付数/服务报告总数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3A53C58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3527F11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7B5BB6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5B507FAD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3EBB7EF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5A8A856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服务报告审核率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0B45071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3046195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服务发布前按程序审核数/服务报告总数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2F34570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054C28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3139A3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64" w:type="dxa"/>
            <w:vMerge w:val="continue"/>
            <w:vAlign w:val="center"/>
          </w:tcPr>
          <w:p w14:paraId="10F3F12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0CF0D62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事件管理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022A06E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事件及时响应率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F472AF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7A8E815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月度及时响应的事件/月度总事件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4A1D9C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0E619CB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A89010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C3FA08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397136EE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1AC50B9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三次同类事件分析率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2C50E75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09327C3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发生三次同类事件时提供分析报告数/当季发生三次同类事件情况总数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032608E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672D580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0E3175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50F7A3E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0FA277E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76729EB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问题三个月内得到解决的比率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7A2137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5D4DBB1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问题在三个月内得到解决的数量/发生问题总数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0304CCC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266D82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2A42E6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67459896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2F7AB66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1811417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配置项更新时间达标率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67E19EB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0DC060F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配置项变更时在7日内更新记录的项目数/发生配置项变更的项目总数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040281B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14FDD7E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435214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0C1B293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shd w:val="clear" w:color="auto" w:fill="auto"/>
            <w:vAlign w:val="center"/>
          </w:tcPr>
          <w:p w14:paraId="3B892B9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78E8E94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抽查配置管理数据库准确率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A0D16E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65F7001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抽查的配置项记录与现场实际相符的项目数/抽查配置项的项目总数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6F39BC1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64C3DF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FC6D3C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continue"/>
            <w:vAlign w:val="center"/>
          </w:tcPr>
          <w:p w14:paraId="28FB013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3E120A3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6C170F2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63CB3B8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5BC2683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6CDDAB1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562F0EB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34C062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64" w:type="dxa"/>
            <w:vMerge w:val="continue"/>
            <w:vAlign w:val="center"/>
          </w:tcPr>
          <w:p w14:paraId="581377B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795B7F2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4039D51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紧急变更比率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87B15C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&lt;10%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85D9F1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1DC9DF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4D033A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4B218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464" w:type="dxa"/>
            <w:vMerge w:val="continue"/>
            <w:vAlign w:val="center"/>
          </w:tcPr>
          <w:p w14:paraId="019B8D0E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79F359B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410C60A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F7EAB7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68373F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发布实施成功总数/发布实施总数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A28B13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23970DC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5A9F89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858389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65466BF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服务可用性和连续性管理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36FDA98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系统可用率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850ECF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3382B3F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系统可用的数量/系统总数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83EB11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1469BE0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5907DF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7EB74537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0C1BB1A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系统容量管理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597056B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由于容量原因发生的事件次数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3AFFEA7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&lt;3次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A6351E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由于容量原因发生的事件次数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348EB51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5875906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4C1E4B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464" w:type="dxa"/>
            <w:vMerge w:val="continue"/>
            <w:vAlign w:val="center"/>
          </w:tcPr>
          <w:p w14:paraId="129024A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0E1DAAC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信息安全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79AC614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客户信息泄露次数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5897A9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0次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522694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服务过程中不得发生客户信息泄露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00BD404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94AF83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755572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465978A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02DB42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1FAD833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信息安全事件客户投诉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35BCF5B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0次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2B63016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服务过程中不得发生信息安全事件客户投诉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2355C08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1E5D51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64F74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033A291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4B0CB8C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7C27E73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交付及时率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7A9EE14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58C7601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及时交付数量/总交付数量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3100A84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82CC2C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B4C32D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EE5970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723A5D5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0494A09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远程交付的确认率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0F1E2E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≥97%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0B02E8A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远程交付确认数/远程交付数*100%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040CC30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63F1242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31FAC2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751D0321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7A1123D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719380B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例行操作记录完整率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75E7931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2FEA0D6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完整例行操作记录数/例行操作记录数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A7340A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7874962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A7A331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237BC10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3064995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483271C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应急预案的覆盖率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E5E494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3A08CB6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评审有效的应急预案</w:t>
            </w:r>
            <w:bookmarkStart w:id="3" w:name="_GoBack"/>
            <w:bookmarkEnd w:id="3"/>
            <w:r>
              <w:rPr>
                <w:rFonts w:hint="eastAsia" w:ascii="宋体" w:hAnsi="宋体" w:eastAsia="宋体" w:cs="宋体"/>
                <w:sz w:val="18"/>
                <w:szCs w:val="18"/>
              </w:rPr>
              <w:t>数/已识别应急场景数*100%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3AD705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3647C77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43EBC8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64" w:type="dxa"/>
            <w:vMerge w:val="continue"/>
            <w:vAlign w:val="center"/>
          </w:tcPr>
          <w:p w14:paraId="2D5DB2F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0BF6B34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5487870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及时响应率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F3118C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08104B1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及时响应数量/总响应数量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D81255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25B12FA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BB6BF6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69D4ECE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质量管理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7800D3D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服务质量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4A8317C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质量抽查合格率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040F8A2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≥96%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6D2EF42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合格的项数量/抽查的数量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535734F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65CEF8A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质量部</w:t>
            </w:r>
          </w:p>
        </w:tc>
      </w:tr>
      <w:tr w14:paraId="0A19C8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64" w:type="dxa"/>
            <w:vMerge w:val="continue"/>
            <w:vAlign w:val="center"/>
          </w:tcPr>
          <w:p w14:paraId="6B60E79E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19CEDEF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客户投诉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02D979D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有效投诉数量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6CE123B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&lt;3次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7C7C9E4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有效投诉数量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8B02D5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2566B43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D9023C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64" w:type="dxa"/>
            <w:vMerge w:val="continue"/>
            <w:vAlign w:val="center"/>
          </w:tcPr>
          <w:p w14:paraId="3F3B9FB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2CBDB70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客户满意度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50DD9B9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满意度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D3F68D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≥95.5分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7815581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满意度调查总分数/调查客户总数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1166D7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5A0B9E5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202CB1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64" w:type="dxa"/>
            <w:vMerge w:val="continue"/>
            <w:vAlign w:val="center"/>
          </w:tcPr>
          <w:p w14:paraId="6EAFEFE5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0F479A5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管理评审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6A0DAA0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管理评审次数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3F7AE3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1次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1C3532A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统计管理评审报告记录文件的次数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78B8FD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F1B67F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质量部</w:t>
            </w:r>
          </w:p>
        </w:tc>
      </w:tr>
      <w:tr w14:paraId="6839356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464" w:type="dxa"/>
            <w:vMerge w:val="continue"/>
            <w:vAlign w:val="center"/>
          </w:tcPr>
          <w:p w14:paraId="51EFA7E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7CDC413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内部审核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4A32D04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内部审的次数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3346C62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≥1次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1CE3434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统计内部审核报告记录文件的次数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A2528E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31BFA99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质量部</w:t>
            </w:r>
          </w:p>
        </w:tc>
      </w:tr>
    </w:tbl>
    <w:p w14:paraId="237D5F5F">
      <w:pPr>
        <w:pStyle w:val="29"/>
        <w:bidi w:val="0"/>
        <w:jc w:val="center"/>
        <w:rPr>
          <w:rFonts w:hint="default"/>
          <w:lang w:val="en-US" w:eastAsia="zh-CN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411CA3"/>
    <w:rsid w:val="00CB5A10"/>
    <w:rsid w:val="02105DD0"/>
    <w:rsid w:val="04EA78F5"/>
    <w:rsid w:val="053C12EF"/>
    <w:rsid w:val="05573D16"/>
    <w:rsid w:val="05C8669A"/>
    <w:rsid w:val="08055CAB"/>
    <w:rsid w:val="09615163"/>
    <w:rsid w:val="09636295"/>
    <w:rsid w:val="0B13248D"/>
    <w:rsid w:val="0B930577"/>
    <w:rsid w:val="0BA650B0"/>
    <w:rsid w:val="0BFC2EE1"/>
    <w:rsid w:val="0CA84E57"/>
    <w:rsid w:val="0DC14423"/>
    <w:rsid w:val="0E4869E6"/>
    <w:rsid w:val="100912AD"/>
    <w:rsid w:val="104D4694"/>
    <w:rsid w:val="112A43FB"/>
    <w:rsid w:val="119775A7"/>
    <w:rsid w:val="160F7CF5"/>
    <w:rsid w:val="167A1613"/>
    <w:rsid w:val="16C265E3"/>
    <w:rsid w:val="16F75359"/>
    <w:rsid w:val="16FD0D5F"/>
    <w:rsid w:val="170C7BDF"/>
    <w:rsid w:val="19CF3BE3"/>
    <w:rsid w:val="1A264519"/>
    <w:rsid w:val="1AC27A2C"/>
    <w:rsid w:val="1B8D153C"/>
    <w:rsid w:val="1CFA72C7"/>
    <w:rsid w:val="1D7B4B8F"/>
    <w:rsid w:val="1DCB6BF8"/>
    <w:rsid w:val="1E360515"/>
    <w:rsid w:val="1F665CAA"/>
    <w:rsid w:val="209179EB"/>
    <w:rsid w:val="21617F9F"/>
    <w:rsid w:val="2208666C"/>
    <w:rsid w:val="22AD2D70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C5223C6"/>
    <w:rsid w:val="2D381E44"/>
    <w:rsid w:val="2E516CA5"/>
    <w:rsid w:val="2E9D013C"/>
    <w:rsid w:val="2EEE2746"/>
    <w:rsid w:val="2F135073"/>
    <w:rsid w:val="2F4A02C4"/>
    <w:rsid w:val="2FF80E15"/>
    <w:rsid w:val="301D1535"/>
    <w:rsid w:val="30B35035"/>
    <w:rsid w:val="32C13470"/>
    <w:rsid w:val="33896EE1"/>
    <w:rsid w:val="34034EE6"/>
    <w:rsid w:val="366559E4"/>
    <w:rsid w:val="36785717"/>
    <w:rsid w:val="36F25E64"/>
    <w:rsid w:val="36FA4FFE"/>
    <w:rsid w:val="373F6235"/>
    <w:rsid w:val="37BF1626"/>
    <w:rsid w:val="384A559C"/>
    <w:rsid w:val="390A4620"/>
    <w:rsid w:val="39431617"/>
    <w:rsid w:val="398B39B3"/>
    <w:rsid w:val="3A3D6832"/>
    <w:rsid w:val="3B5A363D"/>
    <w:rsid w:val="3B6E533A"/>
    <w:rsid w:val="3C28373B"/>
    <w:rsid w:val="3C634773"/>
    <w:rsid w:val="3D156FFD"/>
    <w:rsid w:val="3D695DB9"/>
    <w:rsid w:val="3E7C0C45"/>
    <w:rsid w:val="3EAB0654"/>
    <w:rsid w:val="3F5A203E"/>
    <w:rsid w:val="3F9C008D"/>
    <w:rsid w:val="410A1661"/>
    <w:rsid w:val="41566655"/>
    <w:rsid w:val="426B25D4"/>
    <w:rsid w:val="429D0A4E"/>
    <w:rsid w:val="43A318F9"/>
    <w:rsid w:val="442D371B"/>
    <w:rsid w:val="44FA19ED"/>
    <w:rsid w:val="4613720A"/>
    <w:rsid w:val="461865CE"/>
    <w:rsid w:val="4642189D"/>
    <w:rsid w:val="471A69C9"/>
    <w:rsid w:val="47432D89"/>
    <w:rsid w:val="47A214A1"/>
    <w:rsid w:val="47E81FD1"/>
    <w:rsid w:val="4893018E"/>
    <w:rsid w:val="4AA3483E"/>
    <w:rsid w:val="4AC42881"/>
    <w:rsid w:val="4AD909E8"/>
    <w:rsid w:val="4B644252"/>
    <w:rsid w:val="4C013661"/>
    <w:rsid w:val="4D343593"/>
    <w:rsid w:val="4D6E6C73"/>
    <w:rsid w:val="4E4F4B57"/>
    <w:rsid w:val="4ECA2430"/>
    <w:rsid w:val="4F540134"/>
    <w:rsid w:val="50812FC2"/>
    <w:rsid w:val="54B725CE"/>
    <w:rsid w:val="54CD67D6"/>
    <w:rsid w:val="57AC16EE"/>
    <w:rsid w:val="5859544B"/>
    <w:rsid w:val="58895500"/>
    <w:rsid w:val="58900246"/>
    <w:rsid w:val="58956A46"/>
    <w:rsid w:val="58C8202C"/>
    <w:rsid w:val="5ADC59C5"/>
    <w:rsid w:val="5BBB7799"/>
    <w:rsid w:val="5BC619FD"/>
    <w:rsid w:val="5C717B35"/>
    <w:rsid w:val="5D9E51B4"/>
    <w:rsid w:val="5E133B7E"/>
    <w:rsid w:val="5E3B2A02"/>
    <w:rsid w:val="5E8425FB"/>
    <w:rsid w:val="5FCF405C"/>
    <w:rsid w:val="608C7E04"/>
    <w:rsid w:val="60FF797D"/>
    <w:rsid w:val="62364D94"/>
    <w:rsid w:val="62853344"/>
    <w:rsid w:val="637B1AF3"/>
    <w:rsid w:val="6457120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335661"/>
    <w:rsid w:val="6C7C0DB6"/>
    <w:rsid w:val="6DB05C82"/>
    <w:rsid w:val="711710AD"/>
    <w:rsid w:val="7148395C"/>
    <w:rsid w:val="71BA6EC1"/>
    <w:rsid w:val="71D074AE"/>
    <w:rsid w:val="72895FDA"/>
    <w:rsid w:val="72DC0914"/>
    <w:rsid w:val="747E1443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2A131F"/>
    <w:rsid w:val="7E993157"/>
    <w:rsid w:val="7EC14D4E"/>
    <w:rsid w:val="7EF649F8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1710</Words>
  <Characters>1987</Characters>
  <Lines>0</Lines>
  <Paragraphs>0</Paragraphs>
  <TotalTime>8</TotalTime>
  <ScaleCrop>false</ScaleCrop>
  <LinksUpToDate>false</LinksUpToDate>
  <CharactersWithSpaces>1992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2025-09-12T05:51:00Z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