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7D7DA">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3</w:t>
      </w:r>
      <w:r>
        <w:rPr>
          <w:rFonts w:ascii="宋体" w:hAnsi="宋体" w:eastAsia="宋体" w:cs="宋体"/>
          <w:b/>
          <w:bCs/>
          <w:spacing w:val="-3"/>
          <w:sz w:val="24"/>
          <w:szCs w:val="24"/>
        </w:rPr>
        <w:t>-0</w:t>
      </w:r>
      <w:r>
        <w:rPr>
          <w:rFonts w:hint="eastAsia" w:ascii="宋体" w:hAnsi="宋体" w:eastAsia="宋体" w:cs="宋体"/>
          <w:b/>
          <w:bCs/>
          <w:spacing w:val="-3"/>
          <w:sz w:val="24"/>
          <w:szCs w:val="24"/>
          <w:lang w:val="en-US" w:eastAsia="zh-CN"/>
        </w:rPr>
        <w:t>2-01</w:t>
      </w:r>
    </w:p>
    <w:p w14:paraId="6B8A5424">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21315597">
      <w:pPr>
        <w:pStyle w:val="24"/>
        <w:bidi w:val="0"/>
      </w:pPr>
      <w:bookmarkStart w:id="0" w:name="_Toc5178"/>
      <w:r>
        <w:rPr>
          <w:rFonts w:hint="eastAsia"/>
          <w:lang w:val="en-US" w:eastAsia="zh-CN"/>
        </w:rPr>
        <w:t>万洲奇智（青岛）信息科技有限</w:t>
      </w:r>
      <w:r>
        <w:t>公司</w:t>
      </w:r>
      <w:bookmarkEnd w:id="0"/>
    </w:p>
    <w:p w14:paraId="07C97121">
      <w:pPr>
        <w:pStyle w:val="25"/>
        <w:bidi w:val="0"/>
        <w:rPr>
          <w:rFonts w:hint="default"/>
          <w:lang w:val="en-US"/>
        </w:rPr>
      </w:pPr>
      <w:bookmarkStart w:id="1" w:name="_Toc14116"/>
      <w:r>
        <w:rPr>
          <w:rFonts w:hint="eastAsia"/>
          <w:lang w:val="en-US" w:eastAsia="zh-CN"/>
        </w:rPr>
        <w:t>运维服务能力管理计划</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FE5F9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D03997F">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73AEFA10">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548C73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25608063">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39F5A7EA">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5090C9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06ED007F">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6C50225F">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0F1B727D">
      <w:r>
        <w:br w:type="page"/>
      </w:r>
    </w:p>
    <w:p w14:paraId="3D998194">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7841A5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45400CC7">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83C0DDE">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02500428">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4148F68C">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51EE6870">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5283B70F">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111C27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8307AB7">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260B0E6">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7EE4FC1E">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43A1474B">
            <w:pPr>
              <w:spacing w:before="172" w:line="228" w:lineRule="auto"/>
              <w:ind w:left="313"/>
              <w:rPr>
                <w:rFonts w:hint="eastAsia" w:ascii="宋体" w:hAnsi="宋体" w:eastAsia="宋体" w:cs="宋体"/>
                <w:sz w:val="20"/>
                <w:szCs w:val="20"/>
                <w:lang w:val="en-US" w:eastAsia="zh-CN"/>
              </w:rPr>
            </w:pP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1150" w:type="dxa"/>
          </w:tcPr>
          <w:p w14:paraId="06A7EFD2">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0C8F6E61">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31C9B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17DA2AD">
            <w:pPr>
              <w:pStyle w:val="27"/>
            </w:pPr>
          </w:p>
        </w:tc>
        <w:tc>
          <w:tcPr>
            <w:tcW w:w="919" w:type="dxa"/>
          </w:tcPr>
          <w:p w14:paraId="381177A7">
            <w:pPr>
              <w:pStyle w:val="27"/>
            </w:pPr>
          </w:p>
        </w:tc>
        <w:tc>
          <w:tcPr>
            <w:tcW w:w="2289" w:type="dxa"/>
          </w:tcPr>
          <w:p w14:paraId="3003F17E">
            <w:pPr>
              <w:pStyle w:val="27"/>
            </w:pPr>
          </w:p>
        </w:tc>
        <w:tc>
          <w:tcPr>
            <w:tcW w:w="1148" w:type="dxa"/>
          </w:tcPr>
          <w:p w14:paraId="60B04848">
            <w:pPr>
              <w:spacing w:before="172" w:line="228" w:lineRule="auto"/>
              <w:ind w:left="313"/>
            </w:pPr>
          </w:p>
        </w:tc>
        <w:tc>
          <w:tcPr>
            <w:tcW w:w="1150" w:type="dxa"/>
          </w:tcPr>
          <w:p w14:paraId="69C797C9">
            <w:pPr>
              <w:spacing w:before="172" w:line="228" w:lineRule="auto"/>
              <w:ind w:left="313"/>
            </w:pPr>
          </w:p>
        </w:tc>
        <w:tc>
          <w:tcPr>
            <w:tcW w:w="1240" w:type="dxa"/>
          </w:tcPr>
          <w:p w14:paraId="36487F79">
            <w:pPr>
              <w:pStyle w:val="27"/>
            </w:pPr>
          </w:p>
        </w:tc>
      </w:tr>
      <w:tr w14:paraId="0E8974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C1D945F">
            <w:pPr>
              <w:pStyle w:val="27"/>
            </w:pPr>
          </w:p>
        </w:tc>
        <w:tc>
          <w:tcPr>
            <w:tcW w:w="919" w:type="dxa"/>
          </w:tcPr>
          <w:p w14:paraId="7E32EFB6">
            <w:pPr>
              <w:pStyle w:val="27"/>
            </w:pPr>
          </w:p>
        </w:tc>
        <w:tc>
          <w:tcPr>
            <w:tcW w:w="2289" w:type="dxa"/>
          </w:tcPr>
          <w:p w14:paraId="4F2BC390">
            <w:pPr>
              <w:pStyle w:val="27"/>
            </w:pPr>
          </w:p>
        </w:tc>
        <w:tc>
          <w:tcPr>
            <w:tcW w:w="1148" w:type="dxa"/>
          </w:tcPr>
          <w:p w14:paraId="1AED8774">
            <w:pPr>
              <w:spacing w:before="173" w:line="229" w:lineRule="auto"/>
              <w:ind w:left="314"/>
            </w:pPr>
          </w:p>
        </w:tc>
        <w:tc>
          <w:tcPr>
            <w:tcW w:w="1150" w:type="dxa"/>
          </w:tcPr>
          <w:p w14:paraId="5F97D982">
            <w:pPr>
              <w:spacing w:before="173" w:line="229" w:lineRule="auto"/>
              <w:ind w:left="314"/>
            </w:pPr>
          </w:p>
        </w:tc>
        <w:tc>
          <w:tcPr>
            <w:tcW w:w="1240" w:type="dxa"/>
          </w:tcPr>
          <w:p w14:paraId="02A26891">
            <w:pPr>
              <w:pStyle w:val="27"/>
            </w:pPr>
          </w:p>
        </w:tc>
      </w:tr>
      <w:tr w14:paraId="067FB0C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207F94A5">
            <w:pPr>
              <w:pStyle w:val="27"/>
            </w:pPr>
          </w:p>
        </w:tc>
        <w:tc>
          <w:tcPr>
            <w:tcW w:w="919" w:type="dxa"/>
          </w:tcPr>
          <w:p w14:paraId="106D068F">
            <w:pPr>
              <w:pStyle w:val="27"/>
            </w:pPr>
          </w:p>
        </w:tc>
        <w:tc>
          <w:tcPr>
            <w:tcW w:w="2289" w:type="dxa"/>
          </w:tcPr>
          <w:p w14:paraId="37CEFBEC">
            <w:pPr>
              <w:pStyle w:val="27"/>
            </w:pPr>
          </w:p>
        </w:tc>
        <w:tc>
          <w:tcPr>
            <w:tcW w:w="1148" w:type="dxa"/>
          </w:tcPr>
          <w:p w14:paraId="05091DE1">
            <w:pPr>
              <w:pStyle w:val="27"/>
            </w:pPr>
          </w:p>
        </w:tc>
        <w:tc>
          <w:tcPr>
            <w:tcW w:w="1150" w:type="dxa"/>
          </w:tcPr>
          <w:p w14:paraId="5ACFD804">
            <w:pPr>
              <w:pStyle w:val="27"/>
            </w:pPr>
          </w:p>
        </w:tc>
        <w:tc>
          <w:tcPr>
            <w:tcW w:w="1240" w:type="dxa"/>
          </w:tcPr>
          <w:p w14:paraId="122FCBA9">
            <w:pPr>
              <w:pStyle w:val="27"/>
            </w:pPr>
          </w:p>
        </w:tc>
      </w:tr>
      <w:tr w14:paraId="5854606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EABEB38">
            <w:pPr>
              <w:pStyle w:val="27"/>
            </w:pPr>
          </w:p>
        </w:tc>
        <w:tc>
          <w:tcPr>
            <w:tcW w:w="919" w:type="dxa"/>
          </w:tcPr>
          <w:p w14:paraId="19787D37">
            <w:pPr>
              <w:pStyle w:val="27"/>
            </w:pPr>
          </w:p>
        </w:tc>
        <w:tc>
          <w:tcPr>
            <w:tcW w:w="2289" w:type="dxa"/>
          </w:tcPr>
          <w:p w14:paraId="20ADB320">
            <w:pPr>
              <w:pStyle w:val="27"/>
            </w:pPr>
          </w:p>
        </w:tc>
        <w:tc>
          <w:tcPr>
            <w:tcW w:w="1148" w:type="dxa"/>
          </w:tcPr>
          <w:p w14:paraId="5DFBD640">
            <w:pPr>
              <w:pStyle w:val="27"/>
            </w:pPr>
          </w:p>
        </w:tc>
        <w:tc>
          <w:tcPr>
            <w:tcW w:w="1150" w:type="dxa"/>
          </w:tcPr>
          <w:p w14:paraId="10A6980E">
            <w:pPr>
              <w:pStyle w:val="27"/>
            </w:pPr>
          </w:p>
        </w:tc>
        <w:tc>
          <w:tcPr>
            <w:tcW w:w="1240" w:type="dxa"/>
          </w:tcPr>
          <w:p w14:paraId="54272C32">
            <w:pPr>
              <w:pStyle w:val="27"/>
            </w:pPr>
          </w:p>
        </w:tc>
      </w:tr>
      <w:tr w14:paraId="0489D0E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508012E4">
            <w:pPr>
              <w:pStyle w:val="27"/>
            </w:pPr>
          </w:p>
        </w:tc>
        <w:tc>
          <w:tcPr>
            <w:tcW w:w="919" w:type="dxa"/>
          </w:tcPr>
          <w:p w14:paraId="1CCB6004">
            <w:pPr>
              <w:pStyle w:val="27"/>
            </w:pPr>
          </w:p>
        </w:tc>
        <w:tc>
          <w:tcPr>
            <w:tcW w:w="2289" w:type="dxa"/>
          </w:tcPr>
          <w:p w14:paraId="0C17BDEB">
            <w:pPr>
              <w:pStyle w:val="27"/>
            </w:pPr>
          </w:p>
        </w:tc>
        <w:tc>
          <w:tcPr>
            <w:tcW w:w="1148" w:type="dxa"/>
          </w:tcPr>
          <w:p w14:paraId="2B9D9C05">
            <w:pPr>
              <w:pStyle w:val="27"/>
            </w:pPr>
          </w:p>
        </w:tc>
        <w:tc>
          <w:tcPr>
            <w:tcW w:w="1150" w:type="dxa"/>
          </w:tcPr>
          <w:p w14:paraId="06574A1D">
            <w:pPr>
              <w:pStyle w:val="27"/>
            </w:pPr>
          </w:p>
        </w:tc>
        <w:tc>
          <w:tcPr>
            <w:tcW w:w="1240" w:type="dxa"/>
          </w:tcPr>
          <w:p w14:paraId="25684B7F">
            <w:pPr>
              <w:pStyle w:val="27"/>
            </w:pPr>
          </w:p>
        </w:tc>
      </w:tr>
    </w:tbl>
    <w:p w14:paraId="5E43190C">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640B1BB8">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52F733D6">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_Toc5178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_Toc5178 \h </w:instrText>
          </w:r>
          <w:r>
            <w:fldChar w:fldCharType="separate"/>
          </w:r>
          <w:r>
            <w:t>1</w:t>
          </w:r>
          <w:r>
            <w:fldChar w:fldCharType="end"/>
          </w:r>
          <w:r>
            <w:rPr>
              <w:rFonts w:hint="eastAsia" w:ascii="宋体" w:hAnsi="宋体" w:eastAsia="宋体" w:cs="宋体"/>
              <w:szCs w:val="24"/>
            </w:rPr>
            <w:fldChar w:fldCharType="end"/>
          </w:r>
        </w:p>
        <w:p w14:paraId="5D6CC6D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_Toc14116 </w:instrText>
          </w:r>
          <w:r>
            <w:rPr>
              <w:rFonts w:hint="eastAsia" w:ascii="宋体" w:hAnsi="宋体" w:eastAsia="宋体" w:cs="宋体"/>
              <w:szCs w:val="24"/>
            </w:rPr>
            <w:fldChar w:fldCharType="separate"/>
          </w:r>
          <w:r>
            <w:rPr>
              <w:rFonts w:hint="eastAsia"/>
              <w:lang w:val="en-US" w:eastAsia="zh-CN"/>
            </w:rPr>
            <w:t>运维服务能力管理计划</w:t>
          </w:r>
          <w:r>
            <w:tab/>
          </w:r>
          <w:r>
            <w:fldChar w:fldCharType="begin"/>
          </w:r>
          <w:r>
            <w:instrText xml:space="preserve"> PAGEREF _Toc14116 \h </w:instrText>
          </w:r>
          <w:r>
            <w:fldChar w:fldCharType="separate"/>
          </w:r>
          <w:r>
            <w:t>1</w:t>
          </w:r>
          <w:r>
            <w:fldChar w:fldCharType="end"/>
          </w:r>
          <w:r>
            <w:rPr>
              <w:rFonts w:hint="eastAsia" w:ascii="宋体" w:hAnsi="宋体" w:eastAsia="宋体" w:cs="宋体"/>
              <w:szCs w:val="24"/>
            </w:rPr>
            <w:fldChar w:fldCharType="end"/>
          </w:r>
        </w:p>
        <w:p w14:paraId="3106E27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_Toc13364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_Toc13364 \h </w:instrText>
          </w:r>
          <w:r>
            <w:fldChar w:fldCharType="separate"/>
          </w:r>
          <w:r>
            <w:t>5</w:t>
          </w:r>
          <w:r>
            <w:fldChar w:fldCharType="end"/>
          </w:r>
          <w:r>
            <w:rPr>
              <w:rFonts w:hint="eastAsia" w:ascii="宋体" w:hAnsi="宋体" w:eastAsia="宋体" w:cs="宋体"/>
              <w:szCs w:val="24"/>
            </w:rPr>
            <w:fldChar w:fldCharType="end"/>
          </w:r>
        </w:p>
        <w:p w14:paraId="43DB6EF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_Toc23952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_Toc23952 \h </w:instrText>
          </w:r>
          <w:r>
            <w:fldChar w:fldCharType="separate"/>
          </w:r>
          <w:r>
            <w:t>5</w:t>
          </w:r>
          <w:r>
            <w:fldChar w:fldCharType="end"/>
          </w:r>
          <w:r>
            <w:rPr>
              <w:rFonts w:hint="eastAsia" w:ascii="宋体" w:hAnsi="宋体" w:eastAsia="宋体" w:cs="宋体"/>
              <w:szCs w:val="24"/>
            </w:rPr>
            <w:fldChar w:fldCharType="end"/>
          </w:r>
        </w:p>
        <w:p w14:paraId="06F2B23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_Toc18949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_Toc18949 \h </w:instrText>
          </w:r>
          <w:r>
            <w:fldChar w:fldCharType="separate"/>
          </w:r>
          <w:r>
            <w:t>5</w:t>
          </w:r>
          <w:r>
            <w:fldChar w:fldCharType="end"/>
          </w:r>
          <w:r>
            <w:rPr>
              <w:rFonts w:hint="eastAsia" w:ascii="宋体" w:hAnsi="宋体" w:eastAsia="宋体" w:cs="宋体"/>
              <w:szCs w:val="24"/>
            </w:rPr>
            <w:fldChar w:fldCharType="end"/>
          </w:r>
        </w:p>
        <w:p w14:paraId="2DBBF48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_Toc11384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运维能力管理实施</w:t>
          </w:r>
          <w:r>
            <w:tab/>
          </w:r>
          <w:r>
            <w:fldChar w:fldCharType="begin"/>
          </w:r>
          <w:r>
            <w:instrText xml:space="preserve"> PAGEREF _Toc11384 \h </w:instrText>
          </w:r>
          <w:r>
            <w:fldChar w:fldCharType="separate"/>
          </w:r>
          <w:r>
            <w:t>5</w:t>
          </w:r>
          <w:r>
            <w:fldChar w:fldCharType="end"/>
          </w:r>
          <w:r>
            <w:rPr>
              <w:rFonts w:hint="eastAsia" w:ascii="宋体" w:hAnsi="宋体" w:eastAsia="宋体" w:cs="宋体"/>
              <w:szCs w:val="24"/>
            </w:rPr>
            <w:fldChar w:fldCharType="end"/>
          </w:r>
        </w:p>
        <w:p w14:paraId="32ABBD5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_Toc10583 </w:instrText>
          </w:r>
          <w:r>
            <w:rPr>
              <w:rFonts w:hint="eastAsia" w:ascii="宋体" w:hAnsi="宋体" w:eastAsia="宋体" w:cs="宋体"/>
              <w:szCs w:val="24"/>
            </w:rPr>
            <w:fldChar w:fldCharType="separate"/>
          </w:r>
          <w:r>
            <w:rPr>
              <w:rFonts w:hint="default"/>
            </w:rPr>
            <w:t xml:space="preserve">4.1. </w:t>
          </w:r>
          <w:r>
            <w:t>人员</w:t>
          </w:r>
          <w:r>
            <w:tab/>
          </w:r>
          <w:r>
            <w:fldChar w:fldCharType="begin"/>
          </w:r>
          <w:r>
            <w:instrText xml:space="preserve"> PAGEREF _Toc10583 \h </w:instrText>
          </w:r>
          <w:r>
            <w:fldChar w:fldCharType="separate"/>
          </w:r>
          <w:r>
            <w:t>5</w:t>
          </w:r>
          <w:r>
            <w:fldChar w:fldCharType="end"/>
          </w:r>
          <w:r>
            <w:rPr>
              <w:rFonts w:hint="eastAsia" w:ascii="宋体" w:hAnsi="宋体" w:eastAsia="宋体" w:cs="宋体"/>
              <w:szCs w:val="24"/>
            </w:rPr>
            <w:fldChar w:fldCharType="end"/>
          </w:r>
        </w:p>
        <w:p w14:paraId="0BEF7FD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_Toc13061 </w:instrText>
          </w:r>
          <w:r>
            <w:rPr>
              <w:rFonts w:hint="eastAsia" w:ascii="宋体" w:hAnsi="宋体" w:eastAsia="宋体" w:cs="宋体"/>
              <w:szCs w:val="24"/>
            </w:rPr>
            <w:fldChar w:fldCharType="separate"/>
          </w:r>
          <w:r>
            <w:rPr>
              <w:rFonts w:hint="default"/>
            </w:rPr>
            <w:t xml:space="preserve">4.1.1. </w:t>
          </w:r>
          <w:r>
            <w:t>人力资源招聘储备制度优化</w:t>
          </w:r>
          <w:r>
            <w:tab/>
          </w:r>
          <w:r>
            <w:fldChar w:fldCharType="begin"/>
          </w:r>
          <w:r>
            <w:instrText xml:space="preserve"> PAGEREF _Toc13061 \h </w:instrText>
          </w:r>
          <w:r>
            <w:fldChar w:fldCharType="separate"/>
          </w:r>
          <w:r>
            <w:t>6</w:t>
          </w:r>
          <w:r>
            <w:fldChar w:fldCharType="end"/>
          </w:r>
          <w:r>
            <w:rPr>
              <w:rFonts w:hint="eastAsia" w:ascii="宋体" w:hAnsi="宋体" w:eastAsia="宋体" w:cs="宋体"/>
              <w:szCs w:val="24"/>
            </w:rPr>
            <w:fldChar w:fldCharType="end"/>
          </w:r>
        </w:p>
        <w:p w14:paraId="4BAAAD4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_Toc3655 </w:instrText>
          </w:r>
          <w:r>
            <w:rPr>
              <w:rFonts w:hint="eastAsia" w:ascii="宋体" w:hAnsi="宋体" w:eastAsia="宋体" w:cs="宋体"/>
              <w:szCs w:val="24"/>
            </w:rPr>
            <w:fldChar w:fldCharType="separate"/>
          </w:r>
          <w:r>
            <w:rPr>
              <w:rFonts w:hint="default"/>
            </w:rPr>
            <w:t xml:space="preserve">4.1.2. </w:t>
          </w:r>
          <w:r>
            <w:t>人力需求估算</w:t>
          </w:r>
          <w:r>
            <w:tab/>
          </w:r>
          <w:r>
            <w:fldChar w:fldCharType="begin"/>
          </w:r>
          <w:r>
            <w:instrText xml:space="preserve"> PAGEREF _Toc3655 \h </w:instrText>
          </w:r>
          <w:r>
            <w:fldChar w:fldCharType="separate"/>
          </w:r>
          <w:r>
            <w:t>6</w:t>
          </w:r>
          <w:r>
            <w:fldChar w:fldCharType="end"/>
          </w:r>
          <w:r>
            <w:rPr>
              <w:rFonts w:hint="eastAsia" w:ascii="宋体" w:hAnsi="宋体" w:eastAsia="宋体" w:cs="宋体"/>
              <w:szCs w:val="24"/>
            </w:rPr>
            <w:fldChar w:fldCharType="end"/>
          </w:r>
        </w:p>
        <w:p w14:paraId="0CBFFC9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_Toc26642 </w:instrText>
          </w:r>
          <w:r>
            <w:rPr>
              <w:rFonts w:hint="eastAsia" w:ascii="宋体" w:hAnsi="宋体" w:eastAsia="宋体" w:cs="宋体"/>
              <w:szCs w:val="24"/>
            </w:rPr>
            <w:fldChar w:fldCharType="separate"/>
          </w:r>
          <w:r>
            <w:rPr>
              <w:rFonts w:hint="default"/>
              <w:lang w:val="en-US" w:eastAsia="zh-CN"/>
            </w:rPr>
            <w:t>4.1.3. 年度招聘和储备计划</w:t>
          </w:r>
          <w:r>
            <w:tab/>
          </w:r>
          <w:r>
            <w:fldChar w:fldCharType="begin"/>
          </w:r>
          <w:r>
            <w:instrText xml:space="preserve"> PAGEREF _Toc26642 \h </w:instrText>
          </w:r>
          <w:r>
            <w:fldChar w:fldCharType="separate"/>
          </w:r>
          <w:r>
            <w:t>7</w:t>
          </w:r>
          <w:r>
            <w:fldChar w:fldCharType="end"/>
          </w:r>
          <w:r>
            <w:rPr>
              <w:rFonts w:hint="eastAsia" w:ascii="宋体" w:hAnsi="宋体" w:eastAsia="宋体" w:cs="宋体"/>
              <w:szCs w:val="24"/>
            </w:rPr>
            <w:fldChar w:fldCharType="end"/>
          </w:r>
        </w:p>
        <w:p w14:paraId="5B23913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_Toc23214 </w:instrText>
          </w:r>
          <w:r>
            <w:rPr>
              <w:rFonts w:hint="eastAsia" w:ascii="宋体" w:hAnsi="宋体" w:eastAsia="宋体" w:cs="宋体"/>
              <w:szCs w:val="24"/>
            </w:rPr>
            <w:fldChar w:fldCharType="separate"/>
          </w:r>
          <w:r>
            <w:rPr>
              <w:rFonts w:hint="default"/>
            </w:rPr>
            <w:t xml:space="preserve">4.1.4. </w:t>
          </w:r>
          <w:r>
            <w:t>人员培训及能力提升</w:t>
          </w:r>
          <w:r>
            <w:tab/>
          </w:r>
          <w:r>
            <w:fldChar w:fldCharType="begin"/>
          </w:r>
          <w:r>
            <w:instrText xml:space="preserve"> PAGEREF _Toc23214 \h </w:instrText>
          </w:r>
          <w:r>
            <w:fldChar w:fldCharType="separate"/>
          </w:r>
          <w:r>
            <w:t>7</w:t>
          </w:r>
          <w:r>
            <w:fldChar w:fldCharType="end"/>
          </w:r>
          <w:r>
            <w:rPr>
              <w:rFonts w:hint="eastAsia" w:ascii="宋体" w:hAnsi="宋体" w:eastAsia="宋体" w:cs="宋体"/>
              <w:szCs w:val="24"/>
            </w:rPr>
            <w:fldChar w:fldCharType="end"/>
          </w:r>
        </w:p>
        <w:p w14:paraId="6D604A6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_Toc31442 </w:instrText>
          </w:r>
          <w:r>
            <w:rPr>
              <w:rFonts w:hint="eastAsia" w:ascii="宋体" w:hAnsi="宋体" w:eastAsia="宋体" w:cs="宋体"/>
              <w:szCs w:val="24"/>
            </w:rPr>
            <w:fldChar w:fldCharType="separate"/>
          </w:r>
          <w:r>
            <w:rPr>
              <w:rFonts w:hint="default"/>
            </w:rPr>
            <w:t xml:space="preserve">4.1.5. </w:t>
          </w:r>
          <w:r>
            <w:t>绩效考核</w:t>
          </w:r>
          <w:r>
            <w:tab/>
          </w:r>
          <w:r>
            <w:fldChar w:fldCharType="begin"/>
          </w:r>
          <w:r>
            <w:instrText xml:space="preserve"> PAGEREF _Toc31442 \h </w:instrText>
          </w:r>
          <w:r>
            <w:fldChar w:fldCharType="separate"/>
          </w:r>
          <w:r>
            <w:t>8</w:t>
          </w:r>
          <w:r>
            <w:fldChar w:fldCharType="end"/>
          </w:r>
          <w:r>
            <w:rPr>
              <w:rFonts w:hint="eastAsia" w:ascii="宋体" w:hAnsi="宋体" w:eastAsia="宋体" w:cs="宋体"/>
              <w:szCs w:val="24"/>
            </w:rPr>
            <w:fldChar w:fldCharType="end"/>
          </w:r>
        </w:p>
        <w:p w14:paraId="77802A5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_Toc2734 </w:instrText>
          </w:r>
          <w:r>
            <w:rPr>
              <w:rFonts w:hint="eastAsia" w:ascii="宋体" w:hAnsi="宋体" w:eastAsia="宋体" w:cs="宋体"/>
              <w:szCs w:val="24"/>
            </w:rPr>
            <w:fldChar w:fldCharType="separate"/>
          </w:r>
          <w:r>
            <w:rPr>
              <w:rFonts w:hint="default"/>
            </w:rPr>
            <w:t xml:space="preserve">4.1.6. </w:t>
          </w:r>
          <w:r>
            <w:t>能力评价</w:t>
          </w:r>
          <w:r>
            <w:tab/>
          </w:r>
          <w:r>
            <w:fldChar w:fldCharType="begin"/>
          </w:r>
          <w:r>
            <w:instrText xml:space="preserve"> PAGEREF _Toc2734 \h </w:instrText>
          </w:r>
          <w:r>
            <w:fldChar w:fldCharType="separate"/>
          </w:r>
          <w:r>
            <w:t>9</w:t>
          </w:r>
          <w:r>
            <w:fldChar w:fldCharType="end"/>
          </w:r>
          <w:r>
            <w:rPr>
              <w:rFonts w:hint="eastAsia" w:ascii="宋体" w:hAnsi="宋体" w:eastAsia="宋体" w:cs="宋体"/>
              <w:szCs w:val="24"/>
            </w:rPr>
            <w:fldChar w:fldCharType="end"/>
          </w:r>
        </w:p>
        <w:p w14:paraId="2D85B9F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_Toc16821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资源</w:t>
          </w:r>
          <w:r>
            <w:tab/>
          </w:r>
          <w:r>
            <w:fldChar w:fldCharType="begin"/>
          </w:r>
          <w:r>
            <w:instrText xml:space="preserve"> PAGEREF _Toc16821 \h </w:instrText>
          </w:r>
          <w:r>
            <w:fldChar w:fldCharType="separate"/>
          </w:r>
          <w:r>
            <w:t>9</w:t>
          </w:r>
          <w:r>
            <w:fldChar w:fldCharType="end"/>
          </w:r>
          <w:r>
            <w:rPr>
              <w:rFonts w:hint="eastAsia" w:ascii="宋体" w:hAnsi="宋体" w:eastAsia="宋体" w:cs="宋体"/>
              <w:szCs w:val="24"/>
            </w:rPr>
            <w:fldChar w:fldCharType="end"/>
          </w:r>
        </w:p>
        <w:p w14:paraId="18D5169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_Toc638 </w:instrText>
          </w:r>
          <w:r>
            <w:rPr>
              <w:rFonts w:hint="eastAsia" w:ascii="宋体" w:hAnsi="宋体" w:eastAsia="宋体" w:cs="宋体"/>
              <w:szCs w:val="24"/>
            </w:rPr>
            <w:fldChar w:fldCharType="separate"/>
          </w:r>
          <w:r>
            <w:rPr>
              <w:rFonts w:hint="default"/>
            </w:rPr>
            <w:t xml:space="preserve">4.2.1. </w:t>
          </w:r>
          <w:r>
            <w:t>运行维护工具</w:t>
          </w:r>
          <w:r>
            <w:tab/>
          </w:r>
          <w:r>
            <w:fldChar w:fldCharType="begin"/>
          </w:r>
          <w:r>
            <w:instrText xml:space="preserve"> PAGEREF _Toc638 \h </w:instrText>
          </w:r>
          <w:r>
            <w:fldChar w:fldCharType="separate"/>
          </w:r>
          <w:r>
            <w:t>9</w:t>
          </w:r>
          <w:r>
            <w:fldChar w:fldCharType="end"/>
          </w:r>
          <w:r>
            <w:rPr>
              <w:rFonts w:hint="eastAsia" w:ascii="宋体" w:hAnsi="宋体" w:eastAsia="宋体" w:cs="宋体"/>
              <w:szCs w:val="24"/>
            </w:rPr>
            <w:fldChar w:fldCharType="end"/>
          </w:r>
        </w:p>
        <w:p w14:paraId="57767EE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_Toc371 </w:instrText>
          </w:r>
          <w:r>
            <w:rPr>
              <w:rFonts w:hint="eastAsia" w:ascii="宋体" w:hAnsi="宋体" w:eastAsia="宋体" w:cs="宋体"/>
              <w:szCs w:val="24"/>
            </w:rPr>
            <w:fldChar w:fldCharType="separate"/>
          </w:r>
          <w:r>
            <w:rPr>
              <w:rFonts w:hint="default"/>
              <w:lang w:val="en-US" w:eastAsia="zh-CN"/>
            </w:rPr>
            <w:t xml:space="preserve">4.2.2. </w:t>
          </w:r>
          <w:r>
            <w:rPr>
              <w:rFonts w:hint="eastAsia"/>
              <w:lang w:val="en-US" w:eastAsia="zh-CN"/>
            </w:rPr>
            <w:t>服务台</w:t>
          </w:r>
          <w:r>
            <w:tab/>
          </w:r>
          <w:r>
            <w:fldChar w:fldCharType="begin"/>
          </w:r>
          <w:r>
            <w:instrText xml:space="preserve"> PAGEREF _Toc371 \h </w:instrText>
          </w:r>
          <w:r>
            <w:fldChar w:fldCharType="separate"/>
          </w:r>
          <w:r>
            <w:t>9</w:t>
          </w:r>
          <w:r>
            <w:fldChar w:fldCharType="end"/>
          </w:r>
          <w:r>
            <w:rPr>
              <w:rFonts w:hint="eastAsia" w:ascii="宋体" w:hAnsi="宋体" w:eastAsia="宋体" w:cs="宋体"/>
              <w:szCs w:val="24"/>
            </w:rPr>
            <w:fldChar w:fldCharType="end"/>
          </w:r>
        </w:p>
        <w:p w14:paraId="6C504FD2">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_Toc10197 </w:instrText>
          </w:r>
          <w:r>
            <w:rPr>
              <w:rFonts w:hint="eastAsia" w:ascii="宋体" w:hAnsi="宋体" w:eastAsia="宋体" w:cs="宋体"/>
              <w:szCs w:val="24"/>
            </w:rPr>
            <w:fldChar w:fldCharType="separate"/>
          </w:r>
          <w:r>
            <w:rPr>
              <w:rFonts w:hint="default"/>
              <w:lang w:val="en-US" w:eastAsia="zh-CN"/>
            </w:rPr>
            <w:t xml:space="preserve">4.2.3. </w:t>
          </w:r>
          <w:r>
            <w:rPr>
              <w:rFonts w:hint="eastAsia"/>
              <w:lang w:val="en-US" w:eastAsia="zh-CN"/>
            </w:rPr>
            <w:t>备件库</w:t>
          </w:r>
          <w:r>
            <w:tab/>
          </w:r>
          <w:r>
            <w:fldChar w:fldCharType="begin"/>
          </w:r>
          <w:r>
            <w:instrText xml:space="preserve"> PAGEREF _Toc10197 \h </w:instrText>
          </w:r>
          <w:r>
            <w:fldChar w:fldCharType="separate"/>
          </w:r>
          <w:r>
            <w:t>10</w:t>
          </w:r>
          <w:r>
            <w:fldChar w:fldCharType="end"/>
          </w:r>
          <w:r>
            <w:rPr>
              <w:rFonts w:hint="eastAsia" w:ascii="宋体" w:hAnsi="宋体" w:eastAsia="宋体" w:cs="宋体"/>
              <w:szCs w:val="24"/>
            </w:rPr>
            <w:fldChar w:fldCharType="end"/>
          </w:r>
        </w:p>
        <w:p w14:paraId="192F77D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_Toc21856 </w:instrText>
          </w:r>
          <w:r>
            <w:rPr>
              <w:rFonts w:hint="eastAsia" w:ascii="宋体" w:hAnsi="宋体" w:eastAsia="宋体" w:cs="宋体"/>
              <w:szCs w:val="24"/>
            </w:rPr>
            <w:fldChar w:fldCharType="separate"/>
          </w:r>
          <w:r>
            <w:rPr>
              <w:rFonts w:hint="default"/>
              <w:lang w:val="en-US" w:eastAsia="zh-CN"/>
            </w:rPr>
            <w:t xml:space="preserve">4.2.4. </w:t>
          </w:r>
          <w:r>
            <w:rPr>
              <w:rFonts w:hint="eastAsia"/>
              <w:lang w:val="en-US" w:eastAsia="zh-CN"/>
            </w:rPr>
            <w:t>服务知识</w:t>
          </w:r>
          <w:r>
            <w:tab/>
          </w:r>
          <w:r>
            <w:fldChar w:fldCharType="begin"/>
          </w:r>
          <w:r>
            <w:instrText xml:space="preserve"> PAGEREF _Toc21856 \h </w:instrText>
          </w:r>
          <w:r>
            <w:fldChar w:fldCharType="separate"/>
          </w:r>
          <w:r>
            <w:t>10</w:t>
          </w:r>
          <w:r>
            <w:fldChar w:fldCharType="end"/>
          </w:r>
          <w:r>
            <w:rPr>
              <w:rFonts w:hint="eastAsia" w:ascii="宋体" w:hAnsi="宋体" w:eastAsia="宋体" w:cs="宋体"/>
              <w:szCs w:val="24"/>
            </w:rPr>
            <w:fldChar w:fldCharType="end"/>
          </w:r>
        </w:p>
        <w:p w14:paraId="3E2DE14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_Toc2909 </w:instrText>
          </w:r>
          <w:r>
            <w:rPr>
              <w:rFonts w:hint="eastAsia" w:ascii="宋体" w:hAnsi="宋体" w:eastAsia="宋体" w:cs="宋体"/>
              <w:szCs w:val="24"/>
            </w:rPr>
            <w:fldChar w:fldCharType="separate"/>
          </w:r>
          <w:r>
            <w:rPr>
              <w:rFonts w:hint="default"/>
              <w:lang w:val="en-US" w:eastAsia="zh-CN"/>
            </w:rPr>
            <w:t xml:space="preserve">4.2.5. </w:t>
          </w:r>
          <w:r>
            <w:rPr>
              <w:rFonts w:hint="eastAsia"/>
              <w:lang w:val="en-US" w:eastAsia="zh-CN"/>
            </w:rPr>
            <w:t>最终软件库</w:t>
          </w:r>
          <w:r>
            <w:tab/>
          </w:r>
          <w:r>
            <w:fldChar w:fldCharType="begin"/>
          </w:r>
          <w:r>
            <w:instrText xml:space="preserve"> PAGEREF _Toc2909 \h </w:instrText>
          </w:r>
          <w:r>
            <w:fldChar w:fldCharType="separate"/>
          </w:r>
          <w:r>
            <w:t>10</w:t>
          </w:r>
          <w:r>
            <w:fldChar w:fldCharType="end"/>
          </w:r>
          <w:r>
            <w:rPr>
              <w:rFonts w:hint="eastAsia" w:ascii="宋体" w:hAnsi="宋体" w:eastAsia="宋体" w:cs="宋体"/>
              <w:szCs w:val="24"/>
            </w:rPr>
            <w:fldChar w:fldCharType="end"/>
          </w:r>
        </w:p>
        <w:p w14:paraId="0BC0EF5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_Toc2938 </w:instrText>
          </w:r>
          <w:r>
            <w:rPr>
              <w:rFonts w:hint="eastAsia" w:ascii="宋体" w:hAnsi="宋体" w:eastAsia="宋体" w:cs="宋体"/>
              <w:szCs w:val="24"/>
            </w:rPr>
            <w:fldChar w:fldCharType="separate"/>
          </w:r>
          <w:r>
            <w:rPr>
              <w:rFonts w:hint="default"/>
              <w:lang w:val="en-US" w:eastAsia="zh-CN"/>
            </w:rPr>
            <w:t xml:space="preserve">4.2.6. </w:t>
          </w:r>
          <w:r>
            <w:rPr>
              <w:rFonts w:hint="eastAsia"/>
              <w:lang w:val="en-US" w:eastAsia="zh-CN"/>
            </w:rPr>
            <w:t>服务数据</w:t>
          </w:r>
          <w:r>
            <w:tab/>
          </w:r>
          <w:r>
            <w:fldChar w:fldCharType="begin"/>
          </w:r>
          <w:r>
            <w:instrText xml:space="preserve"> PAGEREF _Toc2938 \h </w:instrText>
          </w:r>
          <w:r>
            <w:fldChar w:fldCharType="separate"/>
          </w:r>
          <w:r>
            <w:t>10</w:t>
          </w:r>
          <w:r>
            <w:fldChar w:fldCharType="end"/>
          </w:r>
          <w:r>
            <w:rPr>
              <w:rFonts w:hint="eastAsia" w:ascii="宋体" w:hAnsi="宋体" w:eastAsia="宋体" w:cs="宋体"/>
              <w:szCs w:val="24"/>
            </w:rPr>
            <w:fldChar w:fldCharType="end"/>
          </w:r>
        </w:p>
        <w:p w14:paraId="46674E5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_Toc19224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技术</w:t>
          </w:r>
          <w:r>
            <w:tab/>
          </w:r>
          <w:r>
            <w:fldChar w:fldCharType="begin"/>
          </w:r>
          <w:r>
            <w:instrText xml:space="preserve"> PAGEREF _Toc19224 \h </w:instrText>
          </w:r>
          <w:r>
            <w:fldChar w:fldCharType="separate"/>
          </w:r>
          <w:r>
            <w:t>11</w:t>
          </w:r>
          <w:r>
            <w:fldChar w:fldCharType="end"/>
          </w:r>
          <w:r>
            <w:rPr>
              <w:rFonts w:hint="eastAsia" w:ascii="宋体" w:hAnsi="宋体" w:eastAsia="宋体" w:cs="宋体"/>
              <w:szCs w:val="24"/>
            </w:rPr>
            <w:fldChar w:fldCharType="end"/>
          </w:r>
        </w:p>
        <w:p w14:paraId="3C1760F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_Toc6608 </w:instrText>
          </w:r>
          <w:r>
            <w:rPr>
              <w:rFonts w:hint="eastAsia" w:ascii="宋体" w:hAnsi="宋体" w:eastAsia="宋体" w:cs="宋体"/>
              <w:szCs w:val="24"/>
            </w:rPr>
            <w:fldChar w:fldCharType="separate"/>
          </w:r>
          <w:r>
            <w:rPr>
              <w:rFonts w:hint="default"/>
              <w:lang w:val="en-US" w:eastAsia="zh-CN"/>
            </w:rPr>
            <w:t xml:space="preserve">4.4. </w:t>
          </w:r>
          <w:r>
            <w:rPr>
              <w:rFonts w:hint="eastAsia"/>
              <w:lang w:val="en-US" w:eastAsia="zh-CN"/>
            </w:rPr>
            <w:t>过程</w:t>
          </w:r>
          <w:r>
            <w:tab/>
          </w:r>
          <w:r>
            <w:fldChar w:fldCharType="begin"/>
          </w:r>
          <w:r>
            <w:instrText xml:space="preserve"> PAGEREF _Toc6608 \h </w:instrText>
          </w:r>
          <w:r>
            <w:fldChar w:fldCharType="separate"/>
          </w:r>
          <w:r>
            <w:t>11</w:t>
          </w:r>
          <w:r>
            <w:fldChar w:fldCharType="end"/>
          </w:r>
          <w:r>
            <w:rPr>
              <w:rFonts w:hint="eastAsia" w:ascii="宋体" w:hAnsi="宋体" w:eastAsia="宋体" w:cs="宋体"/>
              <w:szCs w:val="24"/>
            </w:rPr>
            <w:fldChar w:fldCharType="end"/>
          </w:r>
        </w:p>
        <w:p w14:paraId="2A261D5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_Toc23713 </w:instrText>
          </w:r>
          <w:r>
            <w:rPr>
              <w:rFonts w:hint="eastAsia" w:ascii="宋体" w:hAnsi="宋体" w:eastAsia="宋体" w:cs="宋体"/>
              <w:szCs w:val="24"/>
            </w:rPr>
            <w:fldChar w:fldCharType="separate"/>
          </w:r>
          <w:r>
            <w:rPr>
              <w:rFonts w:hint="default"/>
              <w:lang w:val="en-US" w:eastAsia="zh-CN"/>
            </w:rPr>
            <w:t xml:space="preserve">4.4.1. </w:t>
          </w:r>
          <w:r>
            <w:rPr>
              <w:rFonts w:hint="eastAsia"/>
              <w:lang w:val="en-US" w:eastAsia="zh-CN"/>
            </w:rPr>
            <w:t>过程框架设计</w:t>
          </w:r>
          <w:r>
            <w:tab/>
          </w:r>
          <w:r>
            <w:fldChar w:fldCharType="begin"/>
          </w:r>
          <w:r>
            <w:instrText xml:space="preserve"> PAGEREF _Toc23713 \h </w:instrText>
          </w:r>
          <w:r>
            <w:fldChar w:fldCharType="separate"/>
          </w:r>
          <w:r>
            <w:t>11</w:t>
          </w:r>
          <w:r>
            <w:fldChar w:fldCharType="end"/>
          </w:r>
          <w:r>
            <w:rPr>
              <w:rFonts w:hint="eastAsia" w:ascii="宋体" w:hAnsi="宋体" w:eastAsia="宋体" w:cs="宋体"/>
              <w:szCs w:val="24"/>
            </w:rPr>
            <w:fldChar w:fldCharType="end"/>
          </w:r>
        </w:p>
        <w:p w14:paraId="42BA32D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_Toc16433 </w:instrText>
          </w:r>
          <w:r>
            <w:rPr>
              <w:rFonts w:hint="eastAsia" w:ascii="宋体" w:hAnsi="宋体" w:eastAsia="宋体" w:cs="宋体"/>
              <w:szCs w:val="24"/>
            </w:rPr>
            <w:fldChar w:fldCharType="separate"/>
          </w:r>
          <w:r>
            <w:rPr>
              <w:rFonts w:hint="default"/>
              <w:lang w:val="en-US" w:eastAsia="zh-CN"/>
            </w:rPr>
            <w:t xml:space="preserve">4.4.2. </w:t>
          </w:r>
          <w:r>
            <w:rPr>
              <w:rFonts w:hint="eastAsia"/>
              <w:lang w:val="en-US" w:eastAsia="zh-CN"/>
            </w:rPr>
            <w:t>服务级别管理</w:t>
          </w:r>
          <w:r>
            <w:tab/>
          </w:r>
          <w:r>
            <w:fldChar w:fldCharType="begin"/>
          </w:r>
          <w:r>
            <w:instrText xml:space="preserve"> PAGEREF _Toc16433 \h </w:instrText>
          </w:r>
          <w:r>
            <w:fldChar w:fldCharType="separate"/>
          </w:r>
          <w:r>
            <w:t>11</w:t>
          </w:r>
          <w:r>
            <w:fldChar w:fldCharType="end"/>
          </w:r>
          <w:r>
            <w:rPr>
              <w:rFonts w:hint="eastAsia" w:ascii="宋体" w:hAnsi="宋体" w:eastAsia="宋体" w:cs="宋体"/>
              <w:szCs w:val="24"/>
            </w:rPr>
            <w:fldChar w:fldCharType="end"/>
          </w:r>
        </w:p>
        <w:p w14:paraId="54B2693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_Toc9895 </w:instrText>
          </w:r>
          <w:r>
            <w:rPr>
              <w:rFonts w:hint="eastAsia" w:ascii="宋体" w:hAnsi="宋体" w:eastAsia="宋体" w:cs="宋体"/>
              <w:szCs w:val="24"/>
            </w:rPr>
            <w:fldChar w:fldCharType="separate"/>
          </w:r>
          <w:r>
            <w:rPr>
              <w:rFonts w:hint="default"/>
              <w:lang w:val="en-US" w:eastAsia="zh-CN"/>
            </w:rPr>
            <w:t xml:space="preserve">4.4.3. </w:t>
          </w:r>
          <w:r>
            <w:rPr>
              <w:rFonts w:hint="eastAsia"/>
              <w:lang w:val="en-US" w:eastAsia="zh-CN"/>
            </w:rPr>
            <w:t>服务报告管理</w:t>
          </w:r>
          <w:r>
            <w:tab/>
          </w:r>
          <w:r>
            <w:fldChar w:fldCharType="begin"/>
          </w:r>
          <w:r>
            <w:instrText xml:space="preserve"> PAGEREF _Toc9895 \h </w:instrText>
          </w:r>
          <w:r>
            <w:fldChar w:fldCharType="separate"/>
          </w:r>
          <w:r>
            <w:t>12</w:t>
          </w:r>
          <w:r>
            <w:fldChar w:fldCharType="end"/>
          </w:r>
          <w:r>
            <w:rPr>
              <w:rFonts w:hint="eastAsia" w:ascii="宋体" w:hAnsi="宋体" w:eastAsia="宋体" w:cs="宋体"/>
              <w:szCs w:val="24"/>
            </w:rPr>
            <w:fldChar w:fldCharType="end"/>
          </w:r>
        </w:p>
        <w:p w14:paraId="27FED46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_Toc16454 </w:instrText>
          </w:r>
          <w:r>
            <w:rPr>
              <w:rFonts w:hint="eastAsia" w:ascii="宋体" w:hAnsi="宋体" w:eastAsia="宋体" w:cs="宋体"/>
              <w:szCs w:val="24"/>
            </w:rPr>
            <w:fldChar w:fldCharType="separate"/>
          </w:r>
          <w:r>
            <w:rPr>
              <w:rFonts w:hint="default"/>
              <w:lang w:val="en-US" w:eastAsia="zh-CN"/>
            </w:rPr>
            <w:t xml:space="preserve">4.4.4. </w:t>
          </w:r>
          <w:r>
            <w:rPr>
              <w:rFonts w:hint="eastAsia"/>
              <w:lang w:val="en-US" w:eastAsia="zh-CN"/>
            </w:rPr>
            <w:t>事件管理</w:t>
          </w:r>
          <w:r>
            <w:tab/>
          </w:r>
          <w:r>
            <w:fldChar w:fldCharType="begin"/>
          </w:r>
          <w:r>
            <w:instrText xml:space="preserve"> PAGEREF _Toc16454 \h </w:instrText>
          </w:r>
          <w:r>
            <w:fldChar w:fldCharType="separate"/>
          </w:r>
          <w:r>
            <w:t>12</w:t>
          </w:r>
          <w:r>
            <w:fldChar w:fldCharType="end"/>
          </w:r>
          <w:r>
            <w:rPr>
              <w:rFonts w:hint="eastAsia" w:ascii="宋体" w:hAnsi="宋体" w:eastAsia="宋体" w:cs="宋体"/>
              <w:szCs w:val="24"/>
            </w:rPr>
            <w:fldChar w:fldCharType="end"/>
          </w:r>
        </w:p>
        <w:p w14:paraId="294BAD2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_Toc10113 </w:instrText>
          </w:r>
          <w:r>
            <w:rPr>
              <w:rFonts w:hint="eastAsia" w:ascii="宋体" w:hAnsi="宋体" w:eastAsia="宋体" w:cs="宋体"/>
              <w:szCs w:val="24"/>
            </w:rPr>
            <w:fldChar w:fldCharType="separate"/>
          </w:r>
          <w:r>
            <w:rPr>
              <w:rFonts w:hint="default"/>
              <w:lang w:val="en-US" w:eastAsia="zh-CN"/>
            </w:rPr>
            <w:t xml:space="preserve">4.4.5. </w:t>
          </w:r>
          <w:r>
            <w:rPr>
              <w:rFonts w:hint="eastAsia"/>
              <w:lang w:val="en-US" w:eastAsia="zh-CN"/>
            </w:rPr>
            <w:t>问题管理</w:t>
          </w:r>
          <w:r>
            <w:tab/>
          </w:r>
          <w:r>
            <w:fldChar w:fldCharType="begin"/>
          </w:r>
          <w:r>
            <w:instrText xml:space="preserve"> PAGEREF _Toc10113 \h </w:instrText>
          </w:r>
          <w:r>
            <w:fldChar w:fldCharType="separate"/>
          </w:r>
          <w:r>
            <w:t>12</w:t>
          </w:r>
          <w:r>
            <w:fldChar w:fldCharType="end"/>
          </w:r>
          <w:r>
            <w:rPr>
              <w:rFonts w:hint="eastAsia" w:ascii="宋体" w:hAnsi="宋体" w:eastAsia="宋体" w:cs="宋体"/>
              <w:szCs w:val="24"/>
            </w:rPr>
            <w:fldChar w:fldCharType="end"/>
          </w:r>
        </w:p>
        <w:p w14:paraId="248C7C0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_Toc20441 </w:instrText>
          </w:r>
          <w:r>
            <w:rPr>
              <w:rFonts w:hint="eastAsia" w:ascii="宋体" w:hAnsi="宋体" w:eastAsia="宋体" w:cs="宋体"/>
              <w:szCs w:val="24"/>
            </w:rPr>
            <w:fldChar w:fldCharType="separate"/>
          </w:r>
          <w:r>
            <w:rPr>
              <w:rFonts w:hint="default"/>
              <w:lang w:val="en-US" w:eastAsia="zh-CN"/>
            </w:rPr>
            <w:t xml:space="preserve">4.4.6. </w:t>
          </w:r>
          <w:r>
            <w:rPr>
              <w:rFonts w:hint="eastAsia"/>
              <w:lang w:val="en-US" w:eastAsia="zh-CN"/>
            </w:rPr>
            <w:t>变更管理</w:t>
          </w:r>
          <w:r>
            <w:tab/>
          </w:r>
          <w:r>
            <w:fldChar w:fldCharType="begin"/>
          </w:r>
          <w:r>
            <w:instrText xml:space="preserve"> PAGEREF _Toc20441 \h </w:instrText>
          </w:r>
          <w:r>
            <w:fldChar w:fldCharType="separate"/>
          </w:r>
          <w:r>
            <w:t>13</w:t>
          </w:r>
          <w:r>
            <w:fldChar w:fldCharType="end"/>
          </w:r>
          <w:r>
            <w:rPr>
              <w:rFonts w:hint="eastAsia" w:ascii="宋体" w:hAnsi="宋体" w:eastAsia="宋体" w:cs="宋体"/>
              <w:szCs w:val="24"/>
            </w:rPr>
            <w:fldChar w:fldCharType="end"/>
          </w:r>
        </w:p>
        <w:p w14:paraId="3E93221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_Toc16778 </w:instrText>
          </w:r>
          <w:r>
            <w:rPr>
              <w:rFonts w:hint="eastAsia" w:ascii="宋体" w:hAnsi="宋体" w:eastAsia="宋体" w:cs="宋体"/>
              <w:szCs w:val="24"/>
            </w:rPr>
            <w:fldChar w:fldCharType="separate"/>
          </w:r>
          <w:r>
            <w:rPr>
              <w:rFonts w:hint="default"/>
              <w:lang w:val="en-US" w:eastAsia="zh-CN"/>
            </w:rPr>
            <w:t xml:space="preserve">4.4.7. </w:t>
          </w:r>
          <w:r>
            <w:rPr>
              <w:rFonts w:hint="eastAsia"/>
              <w:lang w:val="en-US" w:eastAsia="zh-CN"/>
            </w:rPr>
            <w:t>发布管理</w:t>
          </w:r>
          <w:r>
            <w:tab/>
          </w:r>
          <w:r>
            <w:fldChar w:fldCharType="begin"/>
          </w:r>
          <w:r>
            <w:instrText xml:space="preserve"> PAGEREF _Toc16778 \h </w:instrText>
          </w:r>
          <w:r>
            <w:fldChar w:fldCharType="separate"/>
          </w:r>
          <w:r>
            <w:t>13</w:t>
          </w:r>
          <w:r>
            <w:fldChar w:fldCharType="end"/>
          </w:r>
          <w:r>
            <w:rPr>
              <w:rFonts w:hint="eastAsia" w:ascii="宋体" w:hAnsi="宋体" w:eastAsia="宋体" w:cs="宋体"/>
              <w:szCs w:val="24"/>
            </w:rPr>
            <w:fldChar w:fldCharType="end"/>
          </w:r>
        </w:p>
        <w:p w14:paraId="192CCDC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_Toc506 </w:instrText>
          </w:r>
          <w:r>
            <w:rPr>
              <w:rFonts w:hint="eastAsia" w:ascii="宋体" w:hAnsi="宋体" w:eastAsia="宋体" w:cs="宋体"/>
              <w:szCs w:val="24"/>
            </w:rPr>
            <w:fldChar w:fldCharType="separate"/>
          </w:r>
          <w:r>
            <w:rPr>
              <w:rFonts w:hint="default"/>
              <w:lang w:val="en-US" w:eastAsia="zh-CN"/>
            </w:rPr>
            <w:t xml:space="preserve">4.4.8. </w:t>
          </w:r>
          <w:r>
            <w:rPr>
              <w:rFonts w:hint="eastAsia"/>
              <w:lang w:val="en-US" w:eastAsia="zh-CN"/>
            </w:rPr>
            <w:t>配置管理</w:t>
          </w:r>
          <w:r>
            <w:tab/>
          </w:r>
          <w:r>
            <w:fldChar w:fldCharType="begin"/>
          </w:r>
          <w:r>
            <w:instrText xml:space="preserve"> PAGEREF _Toc506 \h </w:instrText>
          </w:r>
          <w:r>
            <w:fldChar w:fldCharType="separate"/>
          </w:r>
          <w:r>
            <w:t>13</w:t>
          </w:r>
          <w:r>
            <w:fldChar w:fldCharType="end"/>
          </w:r>
          <w:r>
            <w:rPr>
              <w:rFonts w:hint="eastAsia" w:ascii="宋体" w:hAnsi="宋体" w:eastAsia="宋体" w:cs="宋体"/>
              <w:szCs w:val="24"/>
            </w:rPr>
            <w:fldChar w:fldCharType="end"/>
          </w:r>
        </w:p>
        <w:p w14:paraId="308C9D0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_Toc16146 </w:instrText>
          </w:r>
          <w:r>
            <w:rPr>
              <w:rFonts w:hint="eastAsia" w:ascii="宋体" w:hAnsi="宋体" w:eastAsia="宋体" w:cs="宋体"/>
              <w:szCs w:val="24"/>
            </w:rPr>
            <w:fldChar w:fldCharType="separate"/>
          </w:r>
          <w:r>
            <w:rPr>
              <w:rFonts w:hint="default"/>
              <w:lang w:val="en-US" w:eastAsia="zh-CN"/>
            </w:rPr>
            <w:t xml:space="preserve">4.4.9. </w:t>
          </w:r>
          <w:r>
            <w:rPr>
              <w:rFonts w:hint="eastAsia"/>
              <w:lang w:val="en-US" w:eastAsia="zh-CN"/>
            </w:rPr>
            <w:t>服务可用性和连续性管理</w:t>
          </w:r>
          <w:r>
            <w:tab/>
          </w:r>
          <w:r>
            <w:fldChar w:fldCharType="begin"/>
          </w:r>
          <w:r>
            <w:instrText xml:space="preserve"> PAGEREF _Toc16146 \h </w:instrText>
          </w:r>
          <w:r>
            <w:fldChar w:fldCharType="separate"/>
          </w:r>
          <w:r>
            <w:t>14</w:t>
          </w:r>
          <w:r>
            <w:fldChar w:fldCharType="end"/>
          </w:r>
          <w:r>
            <w:rPr>
              <w:rFonts w:hint="eastAsia" w:ascii="宋体" w:hAnsi="宋体" w:eastAsia="宋体" w:cs="宋体"/>
              <w:szCs w:val="24"/>
            </w:rPr>
            <w:fldChar w:fldCharType="end"/>
          </w:r>
        </w:p>
        <w:p w14:paraId="402810B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_Toc4035 </w:instrText>
          </w:r>
          <w:r>
            <w:rPr>
              <w:rFonts w:hint="eastAsia" w:ascii="宋体" w:hAnsi="宋体" w:eastAsia="宋体" w:cs="宋体"/>
              <w:szCs w:val="24"/>
            </w:rPr>
            <w:fldChar w:fldCharType="separate"/>
          </w:r>
          <w:r>
            <w:rPr>
              <w:rFonts w:hint="default"/>
              <w:lang w:val="en-US" w:eastAsia="zh-CN"/>
            </w:rPr>
            <w:t xml:space="preserve">4.4.10. </w:t>
          </w:r>
          <w:r>
            <w:rPr>
              <w:rFonts w:hint="eastAsia"/>
              <w:lang w:val="en-US" w:eastAsia="zh-CN"/>
            </w:rPr>
            <w:t>容量管理</w:t>
          </w:r>
          <w:r>
            <w:tab/>
          </w:r>
          <w:r>
            <w:fldChar w:fldCharType="begin"/>
          </w:r>
          <w:r>
            <w:instrText xml:space="preserve"> PAGEREF _Toc4035 \h </w:instrText>
          </w:r>
          <w:r>
            <w:fldChar w:fldCharType="separate"/>
          </w:r>
          <w:r>
            <w:t>14</w:t>
          </w:r>
          <w:r>
            <w:fldChar w:fldCharType="end"/>
          </w:r>
          <w:r>
            <w:rPr>
              <w:rFonts w:hint="eastAsia" w:ascii="宋体" w:hAnsi="宋体" w:eastAsia="宋体" w:cs="宋体"/>
              <w:szCs w:val="24"/>
            </w:rPr>
            <w:fldChar w:fldCharType="end"/>
          </w:r>
        </w:p>
        <w:p w14:paraId="6D3B174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_Toc15408 </w:instrText>
          </w:r>
          <w:r>
            <w:rPr>
              <w:rFonts w:hint="eastAsia" w:ascii="宋体" w:hAnsi="宋体" w:eastAsia="宋体" w:cs="宋体"/>
              <w:szCs w:val="24"/>
            </w:rPr>
            <w:fldChar w:fldCharType="separate"/>
          </w:r>
          <w:r>
            <w:rPr>
              <w:rFonts w:hint="default"/>
              <w:lang w:val="en-US" w:eastAsia="zh-CN"/>
            </w:rPr>
            <w:t xml:space="preserve">4.4.11. </w:t>
          </w:r>
          <w:r>
            <w:rPr>
              <w:rFonts w:hint="eastAsia"/>
              <w:lang w:val="en-US" w:eastAsia="zh-CN"/>
            </w:rPr>
            <w:t>信息安全管理</w:t>
          </w:r>
          <w:r>
            <w:tab/>
          </w:r>
          <w:r>
            <w:fldChar w:fldCharType="begin"/>
          </w:r>
          <w:r>
            <w:instrText xml:space="preserve"> PAGEREF _Toc15408 \h </w:instrText>
          </w:r>
          <w:r>
            <w:fldChar w:fldCharType="separate"/>
          </w:r>
          <w:r>
            <w:t>14</w:t>
          </w:r>
          <w:r>
            <w:fldChar w:fldCharType="end"/>
          </w:r>
          <w:r>
            <w:rPr>
              <w:rFonts w:hint="eastAsia" w:ascii="宋体" w:hAnsi="宋体" w:eastAsia="宋体" w:cs="宋体"/>
              <w:szCs w:val="24"/>
            </w:rPr>
            <w:fldChar w:fldCharType="end"/>
          </w:r>
        </w:p>
        <w:p w14:paraId="5175A76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_Toc30747 </w:instrText>
          </w:r>
          <w:r>
            <w:rPr>
              <w:rFonts w:hint="eastAsia" w:ascii="宋体" w:hAnsi="宋体" w:eastAsia="宋体" w:cs="宋体"/>
              <w:szCs w:val="24"/>
            </w:rPr>
            <w:fldChar w:fldCharType="separate"/>
          </w:r>
          <w:r>
            <w:rPr>
              <w:rFonts w:hint="default"/>
              <w:lang w:val="en-US" w:eastAsia="zh-CN"/>
            </w:rPr>
            <w:t xml:space="preserve">4.5. </w:t>
          </w:r>
          <w:r>
            <w:rPr>
              <w:rFonts w:hint="eastAsia"/>
              <w:lang w:val="en-US" w:eastAsia="zh-CN"/>
            </w:rPr>
            <w:t>交付</w:t>
          </w:r>
          <w:r>
            <w:tab/>
          </w:r>
          <w:r>
            <w:fldChar w:fldCharType="begin"/>
          </w:r>
          <w:r>
            <w:instrText xml:space="preserve"> PAGEREF _Toc30747 \h </w:instrText>
          </w:r>
          <w:r>
            <w:fldChar w:fldCharType="separate"/>
          </w:r>
          <w:r>
            <w:t>15</w:t>
          </w:r>
          <w:r>
            <w:fldChar w:fldCharType="end"/>
          </w:r>
          <w:r>
            <w:rPr>
              <w:rFonts w:hint="eastAsia" w:ascii="宋体" w:hAnsi="宋体" w:eastAsia="宋体" w:cs="宋体"/>
              <w:szCs w:val="24"/>
            </w:rPr>
            <w:fldChar w:fldCharType="end"/>
          </w:r>
        </w:p>
        <w:p w14:paraId="0F571B7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_Toc27316 </w:instrText>
          </w:r>
          <w:r>
            <w:rPr>
              <w:rFonts w:hint="eastAsia" w:ascii="宋体" w:hAnsi="宋体" w:eastAsia="宋体" w:cs="宋体"/>
              <w:szCs w:val="24"/>
            </w:rPr>
            <w:fldChar w:fldCharType="separate"/>
          </w:r>
          <w:r>
            <w:rPr>
              <w:rFonts w:hint="default"/>
              <w:lang w:val="en-US" w:eastAsia="zh-CN"/>
            </w:rPr>
            <w:t xml:space="preserve">4.6. </w:t>
          </w:r>
          <w:r>
            <w:rPr>
              <w:rFonts w:hint="eastAsia"/>
              <w:lang w:val="en-US" w:eastAsia="zh-CN"/>
            </w:rPr>
            <w:t>应急</w:t>
          </w:r>
          <w:r>
            <w:tab/>
          </w:r>
          <w:r>
            <w:fldChar w:fldCharType="begin"/>
          </w:r>
          <w:r>
            <w:instrText xml:space="preserve"> PAGEREF _Toc27316 \h </w:instrText>
          </w:r>
          <w:r>
            <w:fldChar w:fldCharType="separate"/>
          </w:r>
          <w:r>
            <w:t>15</w:t>
          </w:r>
          <w:r>
            <w:fldChar w:fldCharType="end"/>
          </w:r>
          <w:r>
            <w:rPr>
              <w:rFonts w:hint="eastAsia" w:ascii="宋体" w:hAnsi="宋体" w:eastAsia="宋体" w:cs="宋体"/>
              <w:szCs w:val="24"/>
            </w:rPr>
            <w:fldChar w:fldCharType="end"/>
          </w:r>
        </w:p>
        <w:p w14:paraId="26A8BE8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_Toc8714 </w:instrText>
          </w:r>
          <w:r>
            <w:rPr>
              <w:rFonts w:hint="eastAsia" w:ascii="宋体" w:hAnsi="宋体" w:eastAsia="宋体" w:cs="宋体"/>
              <w:szCs w:val="24"/>
            </w:rPr>
            <w:fldChar w:fldCharType="separate"/>
          </w:r>
          <w:r>
            <w:rPr>
              <w:rFonts w:hint="default"/>
              <w:lang w:val="en-US" w:eastAsia="zh-CN"/>
            </w:rPr>
            <w:t xml:space="preserve">4.7. </w:t>
          </w:r>
          <w:r>
            <w:rPr>
              <w:rFonts w:hint="eastAsia"/>
              <w:lang w:val="en-US" w:eastAsia="zh-CN"/>
            </w:rPr>
            <w:t>质量</w:t>
          </w:r>
          <w:r>
            <w:tab/>
          </w:r>
          <w:r>
            <w:fldChar w:fldCharType="begin"/>
          </w:r>
          <w:r>
            <w:instrText xml:space="preserve"> PAGEREF _Toc8714 \h </w:instrText>
          </w:r>
          <w:r>
            <w:fldChar w:fldCharType="separate"/>
          </w:r>
          <w:r>
            <w:t>15</w:t>
          </w:r>
          <w:r>
            <w:fldChar w:fldCharType="end"/>
          </w:r>
          <w:r>
            <w:rPr>
              <w:rFonts w:hint="eastAsia" w:ascii="宋体" w:hAnsi="宋体" w:eastAsia="宋体" w:cs="宋体"/>
              <w:szCs w:val="24"/>
            </w:rPr>
            <w:fldChar w:fldCharType="end"/>
          </w:r>
        </w:p>
        <w:p w14:paraId="777DAED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_Toc2074 </w:instrText>
          </w:r>
          <w:r>
            <w:rPr>
              <w:rFonts w:hint="eastAsia" w:ascii="宋体" w:hAnsi="宋体" w:eastAsia="宋体" w:cs="宋体"/>
              <w:szCs w:val="24"/>
            </w:rPr>
            <w:fldChar w:fldCharType="separate"/>
          </w:r>
          <w:r>
            <w:rPr>
              <w:rFonts w:hint="default"/>
              <w:lang w:val="en-US" w:eastAsia="zh-CN"/>
            </w:rPr>
            <w:t xml:space="preserve">4.7.1. </w:t>
          </w:r>
          <w:r>
            <w:rPr>
              <w:rFonts w:hint="eastAsia"/>
              <w:lang w:val="en-US" w:eastAsia="zh-CN"/>
            </w:rPr>
            <w:t>运维服务质量内部评审</w:t>
          </w:r>
          <w:r>
            <w:tab/>
          </w:r>
          <w:r>
            <w:fldChar w:fldCharType="begin"/>
          </w:r>
          <w:r>
            <w:instrText xml:space="preserve"> PAGEREF _Toc2074 \h </w:instrText>
          </w:r>
          <w:r>
            <w:fldChar w:fldCharType="separate"/>
          </w:r>
          <w:r>
            <w:t>15</w:t>
          </w:r>
          <w:r>
            <w:fldChar w:fldCharType="end"/>
          </w:r>
          <w:r>
            <w:rPr>
              <w:rFonts w:hint="eastAsia" w:ascii="宋体" w:hAnsi="宋体" w:eastAsia="宋体" w:cs="宋体"/>
              <w:szCs w:val="24"/>
            </w:rPr>
            <w:fldChar w:fldCharType="end"/>
          </w:r>
        </w:p>
        <w:p w14:paraId="360096E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_Toc17765 </w:instrText>
          </w:r>
          <w:r>
            <w:rPr>
              <w:rFonts w:hint="eastAsia" w:ascii="宋体" w:hAnsi="宋体" w:eastAsia="宋体" w:cs="宋体"/>
              <w:szCs w:val="24"/>
            </w:rPr>
            <w:fldChar w:fldCharType="separate"/>
          </w:r>
          <w:r>
            <w:rPr>
              <w:rFonts w:hint="default"/>
              <w:lang w:val="en-US" w:eastAsia="zh-CN"/>
            </w:rPr>
            <w:t xml:space="preserve">4.7.2. </w:t>
          </w:r>
          <w:r>
            <w:rPr>
              <w:rFonts w:hint="eastAsia"/>
              <w:lang w:val="en-US" w:eastAsia="zh-CN"/>
            </w:rPr>
            <w:t>运维服务质量管理评审</w:t>
          </w:r>
          <w:r>
            <w:tab/>
          </w:r>
          <w:r>
            <w:fldChar w:fldCharType="begin"/>
          </w:r>
          <w:r>
            <w:instrText xml:space="preserve"> PAGEREF _Toc17765 \h </w:instrText>
          </w:r>
          <w:r>
            <w:fldChar w:fldCharType="separate"/>
          </w:r>
          <w:r>
            <w:t>16</w:t>
          </w:r>
          <w:r>
            <w:fldChar w:fldCharType="end"/>
          </w:r>
          <w:r>
            <w:rPr>
              <w:rFonts w:hint="eastAsia" w:ascii="宋体" w:hAnsi="宋体" w:eastAsia="宋体" w:cs="宋体"/>
              <w:szCs w:val="24"/>
            </w:rPr>
            <w:fldChar w:fldCharType="end"/>
          </w:r>
        </w:p>
        <w:p w14:paraId="5F6E6BC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_Toc17406 </w:instrText>
          </w:r>
          <w:r>
            <w:rPr>
              <w:rFonts w:hint="eastAsia" w:ascii="宋体" w:hAnsi="宋体" w:eastAsia="宋体" w:cs="宋体"/>
              <w:szCs w:val="24"/>
            </w:rPr>
            <w:fldChar w:fldCharType="separate"/>
          </w:r>
          <w:r>
            <w:rPr>
              <w:rFonts w:hint="default"/>
              <w:lang w:val="en-US" w:eastAsia="zh-CN"/>
            </w:rPr>
            <w:t xml:space="preserve">4.7.3. </w:t>
          </w:r>
          <w:r>
            <w:rPr>
              <w:rFonts w:hint="eastAsia"/>
              <w:lang w:val="en-US" w:eastAsia="zh-CN"/>
            </w:rPr>
            <w:t>客户满意度调查与分析</w:t>
          </w:r>
          <w:r>
            <w:tab/>
          </w:r>
          <w:r>
            <w:fldChar w:fldCharType="begin"/>
          </w:r>
          <w:r>
            <w:instrText xml:space="preserve"> PAGEREF _Toc17406 \h </w:instrText>
          </w:r>
          <w:r>
            <w:fldChar w:fldCharType="separate"/>
          </w:r>
          <w:r>
            <w:t>16</w:t>
          </w:r>
          <w:r>
            <w:fldChar w:fldCharType="end"/>
          </w:r>
          <w:r>
            <w:rPr>
              <w:rFonts w:hint="eastAsia" w:ascii="宋体" w:hAnsi="宋体" w:eastAsia="宋体" w:cs="宋体"/>
              <w:szCs w:val="24"/>
            </w:rPr>
            <w:fldChar w:fldCharType="end"/>
          </w:r>
        </w:p>
        <w:p w14:paraId="241A506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_Toc22005 </w:instrText>
          </w:r>
          <w:r>
            <w:rPr>
              <w:rFonts w:hint="eastAsia" w:ascii="宋体" w:hAnsi="宋体" w:eastAsia="宋体" w:cs="宋体"/>
              <w:szCs w:val="24"/>
            </w:rPr>
            <w:fldChar w:fldCharType="separate"/>
          </w:r>
          <w:r>
            <w:rPr>
              <w:rFonts w:hint="default" w:eastAsia="宋体"/>
              <w:lang w:val="en-US" w:eastAsia="zh-CN"/>
            </w:rPr>
            <w:t xml:space="preserve">5. </w:t>
          </w:r>
          <w:r>
            <w:rPr>
              <w:rFonts w:hint="eastAsia" w:eastAsia="宋体"/>
              <w:lang w:val="en-US" w:eastAsia="zh-CN"/>
            </w:rPr>
            <w:t>附则</w:t>
          </w:r>
          <w:r>
            <w:tab/>
          </w:r>
          <w:r>
            <w:fldChar w:fldCharType="begin"/>
          </w:r>
          <w:r>
            <w:instrText xml:space="preserve"> PAGEREF _Toc22005 \h </w:instrText>
          </w:r>
          <w:r>
            <w:fldChar w:fldCharType="separate"/>
          </w:r>
          <w:r>
            <w:t>16</w:t>
          </w:r>
          <w:r>
            <w:fldChar w:fldCharType="end"/>
          </w:r>
          <w:r>
            <w:rPr>
              <w:rFonts w:hint="eastAsia" w:ascii="宋体" w:hAnsi="宋体" w:eastAsia="宋体" w:cs="宋体"/>
              <w:szCs w:val="24"/>
            </w:rPr>
            <w:fldChar w:fldCharType="end"/>
          </w:r>
        </w:p>
        <w:p w14:paraId="15DC088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_Toc9022 </w:instrText>
          </w:r>
          <w:r>
            <w:rPr>
              <w:rFonts w:hint="eastAsia" w:ascii="宋体" w:hAnsi="宋体" w:eastAsia="宋体" w:cs="宋体"/>
              <w:szCs w:val="24"/>
            </w:rPr>
            <w:fldChar w:fldCharType="separate"/>
          </w:r>
          <w:r>
            <w:rPr>
              <w:rFonts w:hint="default"/>
              <w:lang w:val="en-US" w:eastAsia="zh-CN"/>
            </w:rPr>
            <w:t xml:space="preserve">6. </w:t>
          </w:r>
          <w:r>
            <w:rPr>
              <w:rFonts w:hint="eastAsia"/>
              <w:lang w:val="en-US" w:eastAsia="zh-CN"/>
            </w:rPr>
            <w:t>附件</w:t>
          </w:r>
          <w:r>
            <w:tab/>
          </w:r>
          <w:r>
            <w:fldChar w:fldCharType="begin"/>
          </w:r>
          <w:r>
            <w:instrText xml:space="preserve"> PAGEREF _Toc9022 \h </w:instrText>
          </w:r>
          <w:r>
            <w:fldChar w:fldCharType="separate"/>
          </w:r>
          <w:r>
            <w:t>16</w:t>
          </w:r>
          <w:r>
            <w:fldChar w:fldCharType="end"/>
          </w:r>
          <w:r>
            <w:rPr>
              <w:rFonts w:hint="eastAsia" w:ascii="宋体" w:hAnsi="宋体" w:eastAsia="宋体" w:cs="宋体"/>
              <w:szCs w:val="24"/>
            </w:rPr>
            <w:fldChar w:fldCharType="end"/>
          </w:r>
        </w:p>
        <w:p w14:paraId="7A42466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_Toc27782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记录</w:t>
          </w:r>
          <w:r>
            <w:tab/>
          </w:r>
          <w:r>
            <w:fldChar w:fldCharType="begin"/>
          </w:r>
          <w:r>
            <w:instrText xml:space="preserve"> PAGEREF _Toc27782 \h </w:instrText>
          </w:r>
          <w:r>
            <w:fldChar w:fldCharType="separate"/>
          </w:r>
          <w:r>
            <w:t>16</w:t>
          </w:r>
          <w:r>
            <w:fldChar w:fldCharType="end"/>
          </w:r>
          <w:r>
            <w:rPr>
              <w:rFonts w:hint="eastAsia" w:ascii="宋体" w:hAnsi="宋体" w:eastAsia="宋体" w:cs="宋体"/>
              <w:szCs w:val="24"/>
            </w:rPr>
            <w:fldChar w:fldCharType="end"/>
          </w:r>
        </w:p>
        <w:p w14:paraId="5F771FB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3FE18E7C">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4F1BE67E">
      <w:pPr>
        <w:pStyle w:val="28"/>
        <w:bidi w:val="0"/>
      </w:pPr>
      <w:bookmarkStart w:id="2" w:name="_Toc13364"/>
      <w:r>
        <w:t>目的</w:t>
      </w:r>
      <w:bookmarkEnd w:id="2"/>
    </w:p>
    <w:p w14:paraId="47E40168">
      <w:pPr>
        <w:pStyle w:val="29"/>
        <w:bidi w:val="0"/>
      </w:pPr>
      <w:r>
        <w:t>为了分解部门工作目标，细化部门工作内容，规范员工工作行为，充分发挥员工工作积极性和能动性，现制定2025年运维服务能力管理</w:t>
      </w:r>
      <w:r>
        <w:rPr>
          <w:rFonts w:hint="eastAsia"/>
          <w:lang w:val="en-US" w:eastAsia="zh-CN"/>
        </w:rPr>
        <w:t>计划</w:t>
      </w:r>
      <w:r>
        <w:t>。</w:t>
      </w:r>
    </w:p>
    <w:p w14:paraId="1E92C5DC">
      <w:pPr>
        <w:pStyle w:val="29"/>
        <w:bidi w:val="0"/>
      </w:pPr>
      <w:r>
        <w:t>在公司的总体战略规划要求下，在2025年，运维收入计划增长率为10%，为实现这一目标，必须保证我们的运维服务能力有效进行，保障完成人员、资源、技术、过程四要素、应急交付和质量管理要求各项指标。</w:t>
      </w:r>
    </w:p>
    <w:p w14:paraId="42CC2888">
      <w:pPr>
        <w:pStyle w:val="28"/>
        <w:bidi w:val="0"/>
        <w:rPr>
          <w:rFonts w:hint="eastAsia"/>
          <w:lang w:val="en-US" w:eastAsia="zh-CN"/>
        </w:rPr>
      </w:pPr>
      <w:bookmarkStart w:id="3" w:name="_Toc23952"/>
      <w:r>
        <w:rPr>
          <w:rFonts w:hint="eastAsia"/>
          <w:lang w:val="en-US" w:eastAsia="zh-CN"/>
        </w:rPr>
        <w:t>原则</w:t>
      </w:r>
      <w:bookmarkEnd w:id="3"/>
    </w:p>
    <w:p w14:paraId="0BE1B698">
      <w:pPr>
        <w:pStyle w:val="29"/>
        <w:numPr>
          <w:ilvl w:val="0"/>
          <w:numId w:val="2"/>
        </w:numPr>
        <w:ind w:left="425" w:leftChars="0" w:hanging="425" w:firstLineChars="0"/>
        <w:rPr>
          <w:rFonts w:hint="eastAsia"/>
          <w:lang w:val="en-US" w:eastAsia="zh-CN"/>
        </w:rPr>
      </w:pPr>
      <w:r>
        <w:rPr>
          <w:rFonts w:hint="eastAsia"/>
          <w:lang w:val="en-US" w:eastAsia="zh-CN"/>
        </w:rPr>
        <w:t>战略对齐与价值导向：确保运维服务能力规划与公司年度业务目标和发展战略紧密结合，所有投入应聚焦于支撑核心业务和创造可衡量的价值。</w:t>
      </w:r>
    </w:p>
    <w:p w14:paraId="572ABF8C">
      <w:pPr>
        <w:pStyle w:val="29"/>
        <w:numPr>
          <w:ilvl w:val="0"/>
          <w:numId w:val="2"/>
        </w:numPr>
        <w:ind w:left="425" w:leftChars="0" w:hanging="425" w:firstLineChars="0"/>
        <w:rPr>
          <w:rFonts w:hint="eastAsia"/>
          <w:lang w:val="en-US" w:eastAsia="zh-CN"/>
        </w:rPr>
      </w:pPr>
      <w:r>
        <w:rPr>
          <w:rFonts w:hint="eastAsia"/>
          <w:lang w:val="en-US" w:eastAsia="zh-CN"/>
        </w:rPr>
        <w:t>资源前瞻规划与动态优化：根据业务预测与容量规划，对人、财、物、技术等资源进行前瞻性的预算与配置，并在年度执行中根据实际情况进行动态调整与优化，确保资源投入的精准与高效。</w:t>
      </w:r>
    </w:p>
    <w:p w14:paraId="11988470">
      <w:pPr>
        <w:pStyle w:val="29"/>
        <w:numPr>
          <w:ilvl w:val="0"/>
          <w:numId w:val="2"/>
        </w:numPr>
        <w:ind w:left="425" w:leftChars="0" w:hanging="425" w:firstLineChars="0"/>
        <w:rPr>
          <w:rFonts w:hint="eastAsia"/>
          <w:lang w:val="en-US" w:eastAsia="zh-CN"/>
        </w:rPr>
      </w:pPr>
      <w:r>
        <w:rPr>
          <w:rFonts w:hint="eastAsia"/>
          <w:lang w:val="en-US" w:eastAsia="zh-CN"/>
        </w:rPr>
        <w:t>技术前瞻性与平台化建设：关注行业技术发展趋势，规划并投入具有前瞻性的工具平台建设，推动自动化、智能化运维落地，以技术手段提升服务效率与可靠性。</w:t>
      </w:r>
    </w:p>
    <w:p w14:paraId="2E9FE0E0">
      <w:pPr>
        <w:pStyle w:val="29"/>
        <w:numPr>
          <w:ilvl w:val="0"/>
          <w:numId w:val="2"/>
        </w:numPr>
        <w:ind w:left="425" w:leftChars="0" w:hanging="425" w:firstLineChars="0"/>
        <w:rPr>
          <w:rFonts w:hint="eastAsia"/>
          <w:lang w:val="en-US" w:eastAsia="zh-CN"/>
        </w:rPr>
      </w:pPr>
      <w:r>
        <w:rPr>
          <w:rFonts w:hint="eastAsia"/>
          <w:lang w:val="en-US" w:eastAsia="zh-CN"/>
        </w:rPr>
        <w:t>过程闭环与持续优化：建立并巩固从设计、交付到运营改进的端到端流程闭环，明确年度流程优化重点，确保各项服务活动可管理、可度量、可追溯、可优化。</w:t>
      </w:r>
    </w:p>
    <w:p w14:paraId="3714FAB0">
      <w:pPr>
        <w:pStyle w:val="29"/>
        <w:numPr>
          <w:ilvl w:val="0"/>
          <w:numId w:val="2"/>
        </w:numPr>
        <w:ind w:left="425" w:leftChars="0" w:hanging="425" w:firstLineChars="0"/>
        <w:rPr>
          <w:rFonts w:hint="eastAsia"/>
          <w:lang w:val="en-US" w:eastAsia="zh-CN"/>
        </w:rPr>
      </w:pPr>
      <w:r>
        <w:rPr>
          <w:rFonts w:hint="eastAsia"/>
          <w:lang w:val="en-US" w:eastAsia="zh-CN"/>
        </w:rPr>
        <w:t>合规性与风险可控：所有运维活动需符合内外部合规要求，并将风险管理嵌入服务设计与交付全过程，确保服务运营的合规、稳定与安全。</w:t>
      </w:r>
    </w:p>
    <w:p w14:paraId="53FA85B2">
      <w:pPr>
        <w:pStyle w:val="28"/>
        <w:bidi w:val="0"/>
      </w:pPr>
      <w:bookmarkStart w:id="4" w:name="_Toc18949"/>
      <w:r>
        <w:rPr>
          <w:rFonts w:hint="eastAsia"/>
          <w:lang w:val="en-US" w:eastAsia="zh-CN"/>
        </w:rPr>
        <w:t>适用</w:t>
      </w:r>
      <w:r>
        <w:t>范围</w:t>
      </w:r>
      <w:bookmarkEnd w:id="4"/>
    </w:p>
    <w:p w14:paraId="7606F528">
      <w:pPr>
        <w:pStyle w:val="29"/>
        <w:rPr>
          <w:rFonts w:hint="default" w:eastAsia="宋体"/>
          <w:lang w:val="en-US" w:eastAsia="zh-CN"/>
        </w:rPr>
      </w:pPr>
      <w:r>
        <w:rPr>
          <w:rFonts w:hint="eastAsia"/>
          <w:lang w:val="en-US" w:eastAsia="zh-CN"/>
        </w:rPr>
        <w:t>公司运维服务的全过程。</w:t>
      </w:r>
    </w:p>
    <w:p w14:paraId="6C80C75F">
      <w:pPr>
        <w:pStyle w:val="28"/>
        <w:bidi w:val="0"/>
        <w:rPr>
          <w:rFonts w:hint="default"/>
          <w:lang w:val="en-US" w:eastAsia="zh-CN"/>
        </w:rPr>
      </w:pPr>
      <w:bookmarkStart w:id="5" w:name="_Toc11384"/>
      <w:r>
        <w:rPr>
          <w:rFonts w:hint="eastAsia"/>
          <w:lang w:val="en-US" w:eastAsia="zh-CN"/>
        </w:rPr>
        <w:t>运维能力管理实施</w:t>
      </w:r>
      <w:bookmarkEnd w:id="5"/>
    </w:p>
    <w:p w14:paraId="0957E346">
      <w:pPr>
        <w:pStyle w:val="30"/>
        <w:bidi w:val="0"/>
      </w:pPr>
      <w:bookmarkStart w:id="6" w:name="_Toc10583"/>
      <w:r>
        <w:t>人员</w:t>
      </w:r>
      <w:bookmarkEnd w:id="6"/>
    </w:p>
    <w:p w14:paraId="164BB0CA">
      <w:pPr>
        <w:pStyle w:val="29"/>
        <w:bidi w:val="0"/>
        <w:rPr>
          <w:rFonts w:hint="eastAsia"/>
        </w:rPr>
      </w:pPr>
      <w:r>
        <w:rPr>
          <w:rFonts w:hint="eastAsia"/>
        </w:rPr>
        <w:t>2024年，伴随运维业务的迅速扩展及一定程度的人员流动，公司运维板块一度面临人力资源结构性短缺与储备不足的挑战。为保障2025年运维服务体系持续稳定与高效运作，公司将系统评估人力资源需求，审慎制定并实施系统化的人力资源储备与发展规划。</w:t>
      </w:r>
    </w:p>
    <w:p w14:paraId="009A6541">
      <w:pPr>
        <w:pStyle w:val="29"/>
        <w:bidi w:val="0"/>
      </w:pPr>
      <w:r>
        <w:rPr>
          <w:rFonts w:hint="eastAsia"/>
        </w:rPr>
        <w:t>针对当前制度管理中存在的薄弱环节，公司将着力推进相关管理机制的优化与完善工作。在人力资源储备方面，将综合考量员工离职率、业务增长趋势及技术演进方向等多重因素，通过内外部协同、多渠道引进的方式强化人才梯队建设。具体举措包括：系统性收集与整合内外部人才信息，逐步构建动态化、系统化的人才储备库；强化人才能力的量化评估与岗位适配管理，建立健全层次分明、持续优化的人才培养与接替机制，为运维业务高质量发展提供坚实的人才支撑。</w:t>
      </w:r>
    </w:p>
    <w:p w14:paraId="7A4B9A97">
      <w:pPr>
        <w:pStyle w:val="31"/>
        <w:bidi w:val="0"/>
      </w:pPr>
      <w:bookmarkStart w:id="7" w:name="bookmark9"/>
      <w:bookmarkEnd w:id="7"/>
      <w:bookmarkStart w:id="8" w:name="_Toc13061"/>
      <w:r>
        <w:t>人力资源招聘储备制度优化</w:t>
      </w:r>
      <w:bookmarkEnd w:id="8"/>
    </w:p>
    <w:p w14:paraId="758DFEEF">
      <w:pPr>
        <w:pStyle w:val="29"/>
        <w:bidi w:val="0"/>
      </w:pPr>
      <w:r>
        <w:t>规划2025年对人员招聘制度、员工培训制度进行完善，在人员储备制度上针对重点岗位的储备办法需要完善。</w:t>
      </w:r>
    </w:p>
    <w:p w14:paraId="060DAF0D">
      <w:pPr>
        <w:pStyle w:val="31"/>
        <w:bidi w:val="0"/>
      </w:pPr>
      <w:bookmarkStart w:id="9" w:name="bookmark10"/>
      <w:bookmarkEnd w:id="9"/>
      <w:bookmarkStart w:id="10" w:name="_Toc3655"/>
      <w:r>
        <w:t>人力需求估算</w:t>
      </w:r>
      <w:bookmarkEnd w:id="10"/>
    </w:p>
    <w:p w14:paraId="526EA206">
      <w:pPr>
        <w:pStyle w:val="29"/>
        <w:bidi w:val="0"/>
      </w:pPr>
      <w:r>
        <w:t>根据</w:t>
      </w:r>
      <w:r>
        <w:rPr>
          <w:rFonts w:hint="eastAsia"/>
          <w:lang w:val="en-US" w:eastAsia="zh-CN"/>
        </w:rPr>
        <w:t>运维相关</w:t>
      </w:r>
      <w:r>
        <w:t>部门2025年运维工作任务目标和工作重点安排，并结合公司年度人力需求规划完成人力需求估算。</w:t>
      </w:r>
    </w:p>
    <w:p w14:paraId="7E467FD7">
      <w:pPr>
        <w:pStyle w:val="29"/>
        <w:bidi w:val="0"/>
        <w:rPr>
          <w:rFonts w:hint="eastAsia"/>
          <w:lang w:val="en-US" w:eastAsia="zh-CN"/>
        </w:rPr>
      </w:pPr>
      <w:r>
        <w:t>2025年运维相关各岗位</w:t>
      </w:r>
      <w:r>
        <w:rPr>
          <w:rFonts w:hint="eastAsia"/>
          <w:lang w:val="en-US" w:eastAsia="zh-CN"/>
        </w:rPr>
        <w:t>招聘</w:t>
      </w:r>
      <w:r>
        <w:t>人员</w:t>
      </w:r>
      <w:r>
        <w:rPr>
          <w:rFonts w:hint="eastAsia"/>
          <w:lang w:val="en-US" w:eastAsia="zh-CN"/>
        </w:rPr>
        <w:t>如表4-1所示。</w:t>
      </w:r>
    </w:p>
    <w:p w14:paraId="6E8C415C">
      <w:pPr>
        <w:pStyle w:val="29"/>
        <w:bidi w:val="0"/>
        <w:rPr>
          <w:rFonts w:hint="default"/>
          <w:lang w:val="en-US" w:eastAsia="zh-CN"/>
        </w:rPr>
      </w:pPr>
      <w:r>
        <w:rPr>
          <w:rFonts w:hint="eastAsia"/>
          <w:lang w:val="en-US" w:eastAsia="zh-CN"/>
        </w:rPr>
        <w:t>2025年运维相关各岗位储备人员如表4-2所示</w:t>
      </w:r>
    </w:p>
    <w:p w14:paraId="12036124">
      <w:pPr>
        <w:pStyle w:val="29"/>
        <w:bidi w:val="0"/>
        <w:jc w:val="cente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w:t>
      </w:r>
      <w:r>
        <w:t>2025年运维相关人员招聘计划</w:t>
      </w:r>
    </w:p>
    <w:p w14:paraId="19F26169">
      <w:pPr>
        <w:spacing w:line="46" w:lineRule="exact"/>
      </w:pPr>
    </w:p>
    <w:tbl>
      <w:tblPr>
        <w:tblStyle w:val="26"/>
        <w:tblW w:w="9434"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0"/>
        <w:gridCol w:w="1794"/>
        <w:gridCol w:w="1943"/>
        <w:gridCol w:w="1463"/>
        <w:gridCol w:w="1948"/>
        <w:gridCol w:w="1566"/>
      </w:tblGrid>
      <w:tr w14:paraId="4DCB7EF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720" w:type="dxa"/>
            <w:vAlign w:val="center"/>
          </w:tcPr>
          <w:p w14:paraId="6126749B">
            <w:pPr>
              <w:spacing w:before="185" w:line="229" w:lineRule="auto"/>
              <w:ind w:left="158"/>
              <w:rPr>
                <w:rFonts w:ascii="宋体" w:hAnsi="宋体" w:eastAsia="宋体" w:cs="宋体"/>
                <w:sz w:val="20"/>
                <w:szCs w:val="20"/>
              </w:rPr>
            </w:pPr>
            <w:r>
              <w:rPr>
                <w:rFonts w:ascii="宋体" w:hAnsi="宋体" w:eastAsia="宋体" w:cs="宋体"/>
                <w:b/>
                <w:bCs/>
                <w:sz w:val="20"/>
                <w:szCs w:val="20"/>
              </w:rPr>
              <w:t>序号</w:t>
            </w:r>
          </w:p>
        </w:tc>
        <w:tc>
          <w:tcPr>
            <w:tcW w:w="1794" w:type="dxa"/>
            <w:vAlign w:val="center"/>
          </w:tcPr>
          <w:p w14:paraId="7A306E48">
            <w:pPr>
              <w:spacing w:before="185" w:line="228" w:lineRule="auto"/>
              <w:ind w:left="488"/>
              <w:rPr>
                <w:rFonts w:ascii="宋体" w:hAnsi="宋体" w:eastAsia="宋体" w:cs="宋体"/>
                <w:sz w:val="20"/>
                <w:szCs w:val="20"/>
              </w:rPr>
            </w:pPr>
            <w:r>
              <w:rPr>
                <w:rFonts w:ascii="宋体" w:hAnsi="宋体" w:eastAsia="宋体" w:cs="宋体"/>
                <w:b/>
                <w:bCs/>
                <w:sz w:val="20"/>
                <w:szCs w:val="20"/>
              </w:rPr>
              <w:t>招聘岗位</w:t>
            </w:r>
          </w:p>
        </w:tc>
        <w:tc>
          <w:tcPr>
            <w:tcW w:w="1943" w:type="dxa"/>
            <w:vAlign w:val="center"/>
          </w:tcPr>
          <w:p w14:paraId="2928A792">
            <w:pPr>
              <w:spacing w:before="185" w:line="228" w:lineRule="auto"/>
              <w:ind w:left="568"/>
              <w:rPr>
                <w:rFonts w:ascii="宋体" w:hAnsi="宋体" w:eastAsia="宋体" w:cs="宋体"/>
                <w:sz w:val="20"/>
                <w:szCs w:val="20"/>
              </w:rPr>
            </w:pPr>
            <w:r>
              <w:rPr>
                <w:rFonts w:ascii="宋体" w:hAnsi="宋体" w:eastAsia="宋体" w:cs="宋体"/>
                <w:b/>
                <w:bCs/>
                <w:spacing w:val="-2"/>
                <w:sz w:val="20"/>
                <w:szCs w:val="20"/>
              </w:rPr>
              <w:t>工作地点</w:t>
            </w:r>
          </w:p>
        </w:tc>
        <w:tc>
          <w:tcPr>
            <w:tcW w:w="1463" w:type="dxa"/>
            <w:vAlign w:val="center"/>
          </w:tcPr>
          <w:p w14:paraId="32ADB7B4">
            <w:pPr>
              <w:spacing w:before="184" w:line="227" w:lineRule="auto"/>
              <w:ind w:left="218"/>
              <w:rPr>
                <w:rFonts w:ascii="宋体" w:hAnsi="宋体" w:eastAsia="宋体" w:cs="宋体"/>
                <w:sz w:val="20"/>
                <w:szCs w:val="20"/>
              </w:rPr>
            </w:pPr>
            <w:r>
              <w:rPr>
                <w:rFonts w:ascii="宋体" w:hAnsi="宋体" w:eastAsia="宋体" w:cs="宋体"/>
                <w:b/>
                <w:bCs/>
                <w:sz w:val="20"/>
                <w:szCs w:val="20"/>
              </w:rPr>
              <w:t>拟招聘人数</w:t>
            </w:r>
          </w:p>
        </w:tc>
        <w:tc>
          <w:tcPr>
            <w:tcW w:w="1948" w:type="dxa"/>
            <w:vAlign w:val="center"/>
          </w:tcPr>
          <w:p w14:paraId="77265444">
            <w:pPr>
              <w:spacing w:before="185" w:line="229" w:lineRule="auto"/>
              <w:ind w:left="579"/>
              <w:rPr>
                <w:rFonts w:ascii="宋体" w:hAnsi="宋体" w:eastAsia="宋体" w:cs="宋体"/>
                <w:sz w:val="20"/>
                <w:szCs w:val="20"/>
              </w:rPr>
            </w:pPr>
            <w:r>
              <w:rPr>
                <w:rFonts w:ascii="宋体" w:hAnsi="宋体" w:eastAsia="宋体" w:cs="宋体"/>
                <w:b/>
                <w:bCs/>
                <w:spacing w:val="-3"/>
                <w:sz w:val="20"/>
                <w:szCs w:val="20"/>
              </w:rPr>
              <w:t>学历要求</w:t>
            </w:r>
          </w:p>
        </w:tc>
        <w:tc>
          <w:tcPr>
            <w:tcW w:w="1566" w:type="dxa"/>
            <w:vAlign w:val="center"/>
          </w:tcPr>
          <w:p w14:paraId="35279B85">
            <w:pPr>
              <w:spacing w:before="185" w:line="228" w:lineRule="auto"/>
              <w:ind w:left="375"/>
              <w:rPr>
                <w:rFonts w:ascii="宋体" w:hAnsi="宋体" w:eastAsia="宋体" w:cs="宋体"/>
                <w:sz w:val="20"/>
                <w:szCs w:val="20"/>
              </w:rPr>
            </w:pPr>
            <w:r>
              <w:rPr>
                <w:rFonts w:ascii="宋体" w:hAnsi="宋体" w:eastAsia="宋体" w:cs="宋体"/>
                <w:b/>
                <w:bCs/>
                <w:sz w:val="20"/>
                <w:szCs w:val="20"/>
              </w:rPr>
              <w:t>入职日期</w:t>
            </w:r>
          </w:p>
        </w:tc>
      </w:tr>
      <w:tr w14:paraId="4BF96B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7" w:hRule="atLeast"/>
        </w:trPr>
        <w:tc>
          <w:tcPr>
            <w:tcW w:w="720" w:type="dxa"/>
            <w:vAlign w:val="center"/>
          </w:tcPr>
          <w:p w14:paraId="252C4952">
            <w:pPr>
              <w:numPr>
                <w:ilvl w:val="0"/>
                <w:numId w:val="3"/>
              </w:numPr>
              <w:spacing w:before="65" w:line="270" w:lineRule="exact"/>
              <w:ind w:left="425" w:leftChars="0" w:hanging="425" w:firstLineChars="0"/>
              <w:jc w:val="center"/>
              <w:rPr>
                <w:rFonts w:ascii="宋体" w:hAnsi="宋体" w:eastAsia="宋体" w:cs="宋体"/>
                <w:sz w:val="20"/>
                <w:szCs w:val="20"/>
              </w:rPr>
            </w:pPr>
          </w:p>
        </w:tc>
        <w:tc>
          <w:tcPr>
            <w:tcW w:w="1794" w:type="dxa"/>
            <w:vAlign w:val="center"/>
          </w:tcPr>
          <w:p w14:paraId="70C58C9A">
            <w:pPr>
              <w:spacing w:before="65" w:line="227" w:lineRule="auto"/>
              <w:ind w:left="124"/>
              <w:jc w:val="center"/>
              <w:rPr>
                <w:rFonts w:ascii="宋体" w:hAnsi="宋体" w:eastAsia="宋体" w:cs="宋体"/>
                <w:spacing w:val="4"/>
                <w:sz w:val="20"/>
                <w:szCs w:val="20"/>
              </w:rPr>
            </w:pPr>
            <w:r>
              <w:rPr>
                <w:rFonts w:ascii="宋体" w:hAnsi="宋体" w:eastAsia="宋体" w:cs="宋体"/>
                <w:spacing w:val="4"/>
                <w:sz w:val="20"/>
                <w:szCs w:val="20"/>
              </w:rPr>
              <w:t>软件运维工程师</w:t>
            </w:r>
          </w:p>
        </w:tc>
        <w:tc>
          <w:tcPr>
            <w:tcW w:w="1943" w:type="dxa"/>
            <w:vAlign w:val="center"/>
          </w:tcPr>
          <w:p w14:paraId="6E8B2243">
            <w:pPr>
              <w:spacing w:before="65" w:line="228" w:lineRule="auto"/>
              <w:ind w:left="125"/>
              <w:jc w:val="center"/>
              <w:rPr>
                <w:rFonts w:hint="eastAsia" w:ascii="宋体" w:hAnsi="宋体" w:eastAsia="宋体" w:cs="宋体"/>
                <w:sz w:val="20"/>
                <w:szCs w:val="20"/>
                <w:lang w:eastAsia="zh-CN"/>
              </w:rPr>
            </w:pPr>
            <w:r>
              <w:rPr>
                <w:rFonts w:hint="eastAsia" w:ascii="宋体" w:hAnsi="宋体" w:eastAsia="宋体" w:cs="宋体"/>
                <w:spacing w:val="1"/>
                <w:sz w:val="20"/>
                <w:szCs w:val="20"/>
                <w:lang w:val="en-US" w:eastAsia="zh-CN"/>
              </w:rPr>
              <w:t>青岛市</w:t>
            </w:r>
          </w:p>
        </w:tc>
        <w:tc>
          <w:tcPr>
            <w:tcW w:w="1463" w:type="dxa"/>
            <w:vAlign w:val="center"/>
          </w:tcPr>
          <w:p w14:paraId="53435FFE">
            <w:pPr>
              <w:spacing w:before="65" w:line="270" w:lineRule="exact"/>
              <w:ind w:left="721"/>
              <w:rPr>
                <w:rFonts w:ascii="宋体" w:hAnsi="宋体" w:eastAsia="宋体" w:cs="宋体"/>
                <w:sz w:val="20"/>
                <w:szCs w:val="20"/>
              </w:rPr>
            </w:pPr>
            <w:r>
              <w:rPr>
                <w:rFonts w:ascii="宋体" w:hAnsi="宋体" w:eastAsia="宋体" w:cs="宋体"/>
                <w:position w:val="1"/>
                <w:sz w:val="20"/>
                <w:szCs w:val="20"/>
              </w:rPr>
              <w:t>1</w:t>
            </w:r>
          </w:p>
        </w:tc>
        <w:tc>
          <w:tcPr>
            <w:tcW w:w="1948" w:type="dxa"/>
            <w:vAlign w:val="center"/>
          </w:tcPr>
          <w:p w14:paraId="2B41497A">
            <w:pPr>
              <w:spacing w:before="65" w:line="227" w:lineRule="auto"/>
              <w:ind w:left="124"/>
              <w:rPr>
                <w:rFonts w:ascii="宋体" w:hAnsi="宋体" w:eastAsia="宋体" w:cs="宋体"/>
                <w:sz w:val="20"/>
                <w:szCs w:val="20"/>
              </w:rPr>
            </w:pPr>
            <w:r>
              <w:rPr>
                <w:rFonts w:ascii="宋体" w:hAnsi="宋体" w:eastAsia="宋体" w:cs="宋体"/>
                <w:spacing w:val="4"/>
                <w:sz w:val="20"/>
                <w:szCs w:val="20"/>
              </w:rPr>
              <w:t>专科及以上学历</w:t>
            </w:r>
          </w:p>
        </w:tc>
        <w:tc>
          <w:tcPr>
            <w:tcW w:w="1566" w:type="dxa"/>
            <w:vAlign w:val="center"/>
          </w:tcPr>
          <w:p w14:paraId="07CCC434">
            <w:pPr>
              <w:spacing w:before="65" w:line="228" w:lineRule="auto"/>
              <w:ind w:left="129"/>
              <w:rPr>
                <w:rFonts w:ascii="宋体" w:hAnsi="宋体" w:eastAsia="宋体" w:cs="宋体"/>
                <w:sz w:val="20"/>
                <w:szCs w:val="20"/>
              </w:rPr>
            </w:pPr>
            <w:r>
              <w:rPr>
                <w:rFonts w:ascii="宋体" w:hAnsi="宋体" w:eastAsia="宋体" w:cs="宋体"/>
                <w:spacing w:val="10"/>
                <w:sz w:val="20"/>
                <w:szCs w:val="20"/>
              </w:rPr>
              <w:t>2025年6月</w:t>
            </w:r>
          </w:p>
        </w:tc>
      </w:tr>
      <w:tr w14:paraId="1F6DCD1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7" w:hRule="atLeast"/>
        </w:trPr>
        <w:tc>
          <w:tcPr>
            <w:tcW w:w="720" w:type="dxa"/>
            <w:vAlign w:val="center"/>
          </w:tcPr>
          <w:p w14:paraId="794F0C18">
            <w:pPr>
              <w:numPr>
                <w:ilvl w:val="0"/>
                <w:numId w:val="3"/>
              </w:numPr>
              <w:spacing w:before="65" w:line="270" w:lineRule="exact"/>
              <w:ind w:left="425" w:leftChars="0" w:hanging="425" w:firstLineChars="0"/>
              <w:jc w:val="center"/>
              <w:rPr>
                <w:rFonts w:ascii="宋体" w:hAnsi="宋体" w:eastAsia="宋体" w:cs="宋体"/>
                <w:sz w:val="20"/>
                <w:szCs w:val="20"/>
              </w:rPr>
            </w:pPr>
          </w:p>
        </w:tc>
        <w:tc>
          <w:tcPr>
            <w:tcW w:w="1794" w:type="dxa"/>
            <w:vAlign w:val="center"/>
          </w:tcPr>
          <w:p w14:paraId="5373B1DF">
            <w:pPr>
              <w:spacing w:before="65" w:line="227" w:lineRule="auto"/>
              <w:ind w:left="124"/>
              <w:jc w:val="center"/>
              <w:rPr>
                <w:rFonts w:ascii="宋体" w:hAnsi="宋体" w:eastAsia="宋体" w:cs="宋体"/>
                <w:spacing w:val="4"/>
                <w:sz w:val="20"/>
                <w:szCs w:val="20"/>
              </w:rPr>
            </w:pPr>
            <w:r>
              <w:rPr>
                <w:rFonts w:ascii="宋体" w:hAnsi="宋体" w:eastAsia="宋体" w:cs="宋体"/>
                <w:spacing w:val="4"/>
                <w:sz w:val="20"/>
                <w:szCs w:val="20"/>
              </w:rPr>
              <w:t>研发工程师</w:t>
            </w:r>
          </w:p>
        </w:tc>
        <w:tc>
          <w:tcPr>
            <w:tcW w:w="1943" w:type="dxa"/>
            <w:vAlign w:val="center"/>
          </w:tcPr>
          <w:p w14:paraId="73C6FF62">
            <w:pPr>
              <w:spacing w:before="65" w:line="228" w:lineRule="auto"/>
              <w:ind w:left="125"/>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青岛市</w:t>
            </w:r>
          </w:p>
        </w:tc>
        <w:tc>
          <w:tcPr>
            <w:tcW w:w="1463" w:type="dxa"/>
            <w:vAlign w:val="center"/>
          </w:tcPr>
          <w:p w14:paraId="737842BA">
            <w:pPr>
              <w:spacing w:before="65" w:line="270" w:lineRule="exact"/>
              <w:ind w:left="721"/>
              <w:rPr>
                <w:rFonts w:ascii="宋体" w:hAnsi="宋体" w:eastAsia="宋体" w:cs="宋体"/>
                <w:sz w:val="20"/>
                <w:szCs w:val="20"/>
              </w:rPr>
            </w:pPr>
            <w:r>
              <w:rPr>
                <w:rFonts w:ascii="宋体" w:hAnsi="宋体" w:eastAsia="宋体" w:cs="宋体"/>
                <w:position w:val="1"/>
                <w:sz w:val="20"/>
                <w:szCs w:val="20"/>
              </w:rPr>
              <w:t>1</w:t>
            </w:r>
          </w:p>
        </w:tc>
        <w:tc>
          <w:tcPr>
            <w:tcW w:w="1948" w:type="dxa"/>
            <w:vAlign w:val="center"/>
          </w:tcPr>
          <w:p w14:paraId="6F18C04F">
            <w:pPr>
              <w:spacing w:before="65" w:line="227" w:lineRule="auto"/>
              <w:ind w:left="124"/>
              <w:rPr>
                <w:rFonts w:ascii="宋体" w:hAnsi="宋体" w:eastAsia="宋体" w:cs="宋体"/>
                <w:sz w:val="20"/>
                <w:szCs w:val="20"/>
              </w:rPr>
            </w:pPr>
            <w:r>
              <w:rPr>
                <w:rFonts w:ascii="宋体" w:hAnsi="宋体" w:eastAsia="宋体" w:cs="宋体"/>
                <w:spacing w:val="4"/>
                <w:sz w:val="20"/>
                <w:szCs w:val="20"/>
              </w:rPr>
              <w:t>专科及以上学历</w:t>
            </w:r>
          </w:p>
        </w:tc>
        <w:tc>
          <w:tcPr>
            <w:tcW w:w="1566" w:type="dxa"/>
            <w:vAlign w:val="center"/>
          </w:tcPr>
          <w:p w14:paraId="327E7E0F">
            <w:pPr>
              <w:spacing w:before="65" w:line="228" w:lineRule="auto"/>
              <w:ind w:left="129"/>
              <w:rPr>
                <w:rFonts w:ascii="宋体" w:hAnsi="宋体" w:eastAsia="宋体" w:cs="宋体"/>
                <w:sz w:val="20"/>
                <w:szCs w:val="20"/>
              </w:rPr>
            </w:pPr>
            <w:r>
              <w:rPr>
                <w:rFonts w:ascii="宋体" w:hAnsi="宋体" w:eastAsia="宋体" w:cs="宋体"/>
                <w:spacing w:val="10"/>
                <w:sz w:val="20"/>
                <w:szCs w:val="20"/>
              </w:rPr>
              <w:t>2025年8月</w:t>
            </w:r>
          </w:p>
        </w:tc>
      </w:tr>
    </w:tbl>
    <w:p w14:paraId="1E3F6368">
      <w:pPr>
        <w:pStyle w:val="29"/>
        <w:bidi w:val="0"/>
        <w:rPr>
          <w:rFonts w:hint="default"/>
          <w:lang w:val="en-US" w:eastAsia="zh-CN"/>
        </w:rPr>
      </w:pPr>
      <w:bookmarkStart w:id="11" w:name="bookmark3"/>
      <w:bookmarkEnd w:id="11"/>
      <w:bookmarkStart w:id="12" w:name="_Toc17424"/>
    </w:p>
    <w:p w14:paraId="2190AED6">
      <w:pPr>
        <w:pStyle w:val="29"/>
        <w:bidi w:val="0"/>
        <w:jc w:val="cente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w:t>
      </w:r>
      <w:r>
        <w:t>2025年运维相关人员</w:t>
      </w:r>
      <w:r>
        <w:rPr>
          <w:rFonts w:hint="eastAsia"/>
          <w:lang w:val="en-US" w:eastAsia="zh-CN"/>
        </w:rPr>
        <w:t>储备</w:t>
      </w:r>
      <w:r>
        <w:t>计划</w:t>
      </w:r>
    </w:p>
    <w:tbl>
      <w:tblPr>
        <w:tblStyle w:val="26"/>
        <w:tblW w:w="9347" w:type="dxa"/>
        <w:tblInd w:w="5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02"/>
        <w:gridCol w:w="1604"/>
        <w:gridCol w:w="1401"/>
        <w:gridCol w:w="1787"/>
        <w:gridCol w:w="1662"/>
        <w:gridCol w:w="1274"/>
        <w:gridCol w:w="717"/>
      </w:tblGrid>
      <w:tr w14:paraId="64F9104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902" w:type="dxa"/>
            <w:vAlign w:val="center"/>
          </w:tcPr>
          <w:p w14:paraId="66076DCD">
            <w:pPr>
              <w:jc w:val="center"/>
              <w:rPr>
                <w:rFonts w:hint="eastAsia" w:ascii="宋体" w:hAnsi="宋体" w:eastAsia="宋体" w:cs="宋体"/>
                <w:b/>
                <w:bCs/>
                <w:sz w:val="18"/>
                <w:szCs w:val="18"/>
              </w:rPr>
            </w:pPr>
            <w:r>
              <w:rPr>
                <w:rFonts w:hint="eastAsia" w:ascii="宋体" w:hAnsi="宋体" w:eastAsia="宋体" w:cs="宋体"/>
                <w:b/>
                <w:bCs/>
                <w:sz w:val="18"/>
                <w:szCs w:val="18"/>
              </w:rPr>
              <w:t>岗位</w:t>
            </w:r>
          </w:p>
        </w:tc>
        <w:tc>
          <w:tcPr>
            <w:tcW w:w="1604" w:type="dxa"/>
            <w:vAlign w:val="center"/>
          </w:tcPr>
          <w:p w14:paraId="50E6B1F5">
            <w:pPr>
              <w:jc w:val="center"/>
              <w:rPr>
                <w:rFonts w:hint="eastAsia" w:ascii="宋体" w:hAnsi="宋体" w:eastAsia="宋体" w:cs="宋体"/>
                <w:b/>
                <w:bCs/>
                <w:sz w:val="18"/>
                <w:szCs w:val="18"/>
              </w:rPr>
            </w:pPr>
            <w:r>
              <w:rPr>
                <w:rFonts w:hint="eastAsia" w:ascii="宋体" w:hAnsi="宋体" w:eastAsia="宋体" w:cs="宋体"/>
                <w:b/>
                <w:bCs/>
                <w:sz w:val="18"/>
                <w:szCs w:val="18"/>
              </w:rPr>
              <w:t>来源及条件</w:t>
            </w:r>
          </w:p>
        </w:tc>
        <w:tc>
          <w:tcPr>
            <w:tcW w:w="1401" w:type="dxa"/>
            <w:vAlign w:val="center"/>
          </w:tcPr>
          <w:p w14:paraId="65288009">
            <w:pPr>
              <w:jc w:val="center"/>
              <w:rPr>
                <w:rFonts w:hint="eastAsia" w:ascii="宋体" w:hAnsi="宋体" w:eastAsia="宋体" w:cs="宋体"/>
                <w:b/>
                <w:bCs/>
                <w:sz w:val="18"/>
                <w:szCs w:val="18"/>
              </w:rPr>
            </w:pPr>
            <w:r>
              <w:rPr>
                <w:rFonts w:hint="eastAsia" w:ascii="宋体" w:hAnsi="宋体" w:eastAsia="宋体" w:cs="宋体"/>
                <w:b/>
                <w:bCs/>
                <w:sz w:val="18"/>
                <w:szCs w:val="18"/>
              </w:rPr>
              <w:t>方式及数量</w:t>
            </w:r>
          </w:p>
        </w:tc>
        <w:tc>
          <w:tcPr>
            <w:tcW w:w="1787" w:type="dxa"/>
            <w:vAlign w:val="center"/>
          </w:tcPr>
          <w:p w14:paraId="096E10D2">
            <w:pPr>
              <w:jc w:val="center"/>
              <w:rPr>
                <w:rFonts w:hint="eastAsia" w:ascii="宋体" w:hAnsi="宋体" w:eastAsia="宋体" w:cs="宋体"/>
                <w:b/>
                <w:bCs/>
                <w:sz w:val="18"/>
                <w:szCs w:val="18"/>
              </w:rPr>
            </w:pPr>
            <w:r>
              <w:rPr>
                <w:rFonts w:hint="eastAsia" w:ascii="宋体" w:hAnsi="宋体" w:eastAsia="宋体" w:cs="宋体"/>
                <w:b/>
                <w:bCs/>
                <w:sz w:val="18"/>
                <w:szCs w:val="18"/>
              </w:rPr>
              <w:t>储备措施</w:t>
            </w:r>
          </w:p>
        </w:tc>
        <w:tc>
          <w:tcPr>
            <w:tcW w:w="1662" w:type="dxa"/>
            <w:vAlign w:val="center"/>
          </w:tcPr>
          <w:p w14:paraId="60C28B25">
            <w:pPr>
              <w:jc w:val="center"/>
              <w:rPr>
                <w:rFonts w:hint="eastAsia" w:ascii="宋体" w:hAnsi="宋体" w:eastAsia="宋体" w:cs="宋体"/>
                <w:b/>
                <w:bCs/>
                <w:sz w:val="18"/>
                <w:szCs w:val="18"/>
              </w:rPr>
            </w:pPr>
            <w:r>
              <w:rPr>
                <w:rFonts w:hint="eastAsia" w:ascii="宋体" w:hAnsi="宋体" w:eastAsia="宋体" w:cs="宋体"/>
                <w:b/>
                <w:bCs/>
                <w:sz w:val="18"/>
                <w:szCs w:val="18"/>
              </w:rPr>
              <w:t>建立日期</w:t>
            </w:r>
          </w:p>
        </w:tc>
        <w:tc>
          <w:tcPr>
            <w:tcW w:w="1274" w:type="dxa"/>
            <w:vAlign w:val="center"/>
          </w:tcPr>
          <w:p w14:paraId="7AF9C27D">
            <w:pPr>
              <w:jc w:val="center"/>
              <w:rPr>
                <w:rFonts w:hint="eastAsia" w:ascii="宋体" w:hAnsi="宋体" w:eastAsia="宋体" w:cs="宋体"/>
                <w:b/>
                <w:bCs/>
                <w:sz w:val="18"/>
                <w:szCs w:val="18"/>
              </w:rPr>
            </w:pPr>
            <w:r>
              <w:rPr>
                <w:rFonts w:hint="eastAsia" w:ascii="宋体" w:hAnsi="宋体" w:eastAsia="宋体" w:cs="宋体"/>
                <w:b/>
                <w:bCs/>
                <w:sz w:val="18"/>
                <w:szCs w:val="18"/>
              </w:rPr>
              <w:t>完成日期</w:t>
            </w:r>
          </w:p>
        </w:tc>
        <w:tc>
          <w:tcPr>
            <w:tcW w:w="717" w:type="dxa"/>
            <w:vAlign w:val="center"/>
          </w:tcPr>
          <w:p w14:paraId="4FA0B815">
            <w:pPr>
              <w:jc w:val="center"/>
              <w:rPr>
                <w:rFonts w:hint="eastAsia" w:ascii="宋体" w:hAnsi="宋体" w:eastAsia="宋体" w:cs="宋体"/>
                <w:b/>
                <w:bCs/>
                <w:sz w:val="18"/>
                <w:szCs w:val="18"/>
              </w:rPr>
            </w:pPr>
            <w:r>
              <w:rPr>
                <w:rFonts w:hint="eastAsia" w:ascii="宋体" w:hAnsi="宋体" w:eastAsia="宋体" w:cs="宋体"/>
                <w:b/>
                <w:bCs/>
                <w:sz w:val="18"/>
                <w:szCs w:val="18"/>
              </w:rPr>
              <w:t>备注</w:t>
            </w:r>
          </w:p>
        </w:tc>
      </w:tr>
      <w:tr w14:paraId="2C2FCB6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902" w:type="dxa"/>
            <w:shd w:val="clear" w:color="auto" w:fill="auto"/>
          </w:tcPr>
          <w:p w14:paraId="0ACA87DB">
            <w:pPr>
              <w:rPr>
                <w:rFonts w:hint="eastAsia" w:ascii="宋体" w:hAnsi="宋体" w:eastAsia="宋体" w:cs="宋体"/>
                <w:sz w:val="18"/>
                <w:szCs w:val="18"/>
                <w:lang w:val="en-US" w:eastAsia="en-US"/>
              </w:rPr>
            </w:pPr>
            <w:r>
              <w:rPr>
                <w:rFonts w:hint="eastAsia" w:ascii="宋体" w:hAnsi="宋体" w:eastAsia="宋体" w:cs="宋体"/>
                <w:sz w:val="18"/>
                <w:szCs w:val="18"/>
              </w:rPr>
              <w:t>运维项目经理</w:t>
            </w:r>
          </w:p>
        </w:tc>
        <w:tc>
          <w:tcPr>
            <w:tcW w:w="1604" w:type="dxa"/>
            <w:shd w:val="clear" w:color="auto" w:fill="auto"/>
          </w:tcPr>
          <w:p w14:paraId="3DB32B31">
            <w:pPr>
              <w:rPr>
                <w:rFonts w:hint="eastAsia" w:ascii="宋体" w:hAnsi="宋体" w:eastAsia="宋体" w:cs="宋体"/>
                <w:sz w:val="18"/>
                <w:szCs w:val="18"/>
              </w:rPr>
            </w:pPr>
            <w:r>
              <w:rPr>
                <w:rFonts w:hint="eastAsia" w:ascii="宋体" w:hAnsi="宋体" w:eastAsia="宋体" w:cs="宋体"/>
                <w:sz w:val="18"/>
                <w:szCs w:val="18"/>
              </w:rPr>
              <w:t>2年以上运维经验</w:t>
            </w:r>
          </w:p>
          <w:p w14:paraId="4C859FC2">
            <w:pPr>
              <w:rPr>
                <w:rFonts w:hint="eastAsia" w:ascii="宋体" w:hAnsi="宋体" w:eastAsia="宋体" w:cs="宋体"/>
                <w:sz w:val="18"/>
                <w:szCs w:val="18"/>
                <w:lang w:val="en-US" w:eastAsia="en-US"/>
              </w:rPr>
            </w:pPr>
            <w:r>
              <w:rPr>
                <w:rFonts w:hint="eastAsia" w:ascii="宋体" w:hAnsi="宋体" w:eastAsia="宋体" w:cs="宋体"/>
                <w:sz w:val="18"/>
                <w:szCs w:val="18"/>
              </w:rPr>
              <w:t>一线运维工程师</w:t>
            </w:r>
          </w:p>
        </w:tc>
        <w:tc>
          <w:tcPr>
            <w:tcW w:w="1401" w:type="dxa"/>
            <w:shd w:val="clear" w:color="auto" w:fill="auto"/>
          </w:tcPr>
          <w:p w14:paraId="3BE6579B">
            <w:pPr>
              <w:rPr>
                <w:rFonts w:hint="eastAsia" w:ascii="宋体" w:hAnsi="宋体" w:eastAsia="宋体" w:cs="宋体"/>
                <w:sz w:val="18"/>
                <w:szCs w:val="18"/>
                <w:lang w:val="en-US" w:eastAsia="en-US"/>
              </w:rPr>
            </w:pPr>
            <w:r>
              <w:rPr>
                <w:rFonts w:hint="eastAsia" w:ascii="宋体" w:hAnsi="宋体" w:eastAsia="宋体" w:cs="宋体"/>
                <w:sz w:val="18"/>
                <w:szCs w:val="18"/>
              </w:rPr>
              <w:t>内部遴选2人</w:t>
            </w:r>
          </w:p>
        </w:tc>
        <w:tc>
          <w:tcPr>
            <w:tcW w:w="1787" w:type="dxa"/>
            <w:shd w:val="clear" w:color="auto" w:fill="auto"/>
          </w:tcPr>
          <w:p w14:paraId="5F9BD8A2">
            <w:pPr>
              <w:rPr>
                <w:rFonts w:hint="eastAsia" w:ascii="宋体" w:hAnsi="宋体" w:eastAsia="宋体" w:cs="宋体"/>
                <w:sz w:val="18"/>
                <w:szCs w:val="18"/>
                <w:lang w:val="en-US" w:eastAsia="en-US"/>
              </w:rPr>
            </w:pPr>
            <w:r>
              <w:rPr>
                <w:rFonts w:hint="eastAsia" w:ascii="宋体" w:hAnsi="宋体" w:eastAsia="宋体" w:cs="宋体"/>
                <w:sz w:val="18"/>
                <w:szCs w:val="18"/>
              </w:rPr>
              <w:t>内部储备</w:t>
            </w:r>
            <w:r>
              <w:rPr>
                <w:rFonts w:hint="eastAsia" w:ascii="宋体" w:hAnsi="宋体" w:eastAsia="宋体" w:cs="宋体"/>
                <w:sz w:val="18"/>
                <w:szCs w:val="18"/>
                <w:lang w:eastAsia="zh-CN"/>
              </w:rPr>
              <w:t>：</w:t>
            </w:r>
            <w:r>
              <w:rPr>
                <w:rFonts w:hint="eastAsia" w:ascii="宋体" w:hAnsi="宋体" w:eastAsia="宋体" w:cs="宋体"/>
                <w:sz w:val="18"/>
                <w:szCs w:val="18"/>
              </w:rPr>
              <w:t>从现有运维工程师选拔</w:t>
            </w:r>
          </w:p>
        </w:tc>
        <w:tc>
          <w:tcPr>
            <w:tcW w:w="1662" w:type="dxa"/>
            <w:shd w:val="clear" w:color="auto" w:fill="auto"/>
          </w:tcPr>
          <w:p w14:paraId="4345EFC5">
            <w:pPr>
              <w:rPr>
                <w:rFonts w:hint="eastAsia" w:ascii="宋体" w:hAnsi="宋体" w:eastAsia="宋体" w:cs="宋体"/>
                <w:sz w:val="18"/>
                <w:szCs w:val="18"/>
                <w:lang w:val="en-US" w:eastAsia="en-US"/>
              </w:rPr>
            </w:pPr>
            <w:r>
              <w:rPr>
                <w:rFonts w:hint="eastAsia" w:ascii="宋体" w:hAnsi="宋体" w:eastAsia="宋体" w:cs="宋体"/>
                <w:sz w:val="18"/>
                <w:szCs w:val="18"/>
              </w:rPr>
              <w:t>2025年3月底前确定储备对象</w:t>
            </w:r>
          </w:p>
        </w:tc>
        <w:tc>
          <w:tcPr>
            <w:tcW w:w="1274" w:type="dxa"/>
            <w:shd w:val="clear" w:color="auto" w:fill="auto"/>
          </w:tcPr>
          <w:p w14:paraId="64953FA0">
            <w:pPr>
              <w:rPr>
                <w:rFonts w:hint="eastAsia" w:ascii="宋体" w:hAnsi="宋体" w:eastAsia="宋体" w:cs="宋体"/>
                <w:sz w:val="18"/>
                <w:szCs w:val="18"/>
                <w:lang w:val="en-US" w:eastAsia="en-US"/>
              </w:rPr>
            </w:pPr>
            <w:r>
              <w:rPr>
                <w:rFonts w:hint="eastAsia" w:ascii="宋体" w:hAnsi="宋体" w:eastAsia="宋体" w:cs="宋体"/>
                <w:sz w:val="18"/>
                <w:szCs w:val="18"/>
              </w:rPr>
              <w:t>2025年6月底前到岗任职</w:t>
            </w:r>
          </w:p>
        </w:tc>
        <w:tc>
          <w:tcPr>
            <w:tcW w:w="717" w:type="dxa"/>
          </w:tcPr>
          <w:p w14:paraId="1C9F87B7">
            <w:pPr>
              <w:rPr>
                <w:rFonts w:hint="eastAsia" w:ascii="宋体" w:hAnsi="宋体" w:eastAsia="宋体" w:cs="宋体"/>
                <w:sz w:val="18"/>
                <w:szCs w:val="18"/>
              </w:rPr>
            </w:pPr>
          </w:p>
        </w:tc>
      </w:tr>
    </w:tbl>
    <w:p w14:paraId="62A3389F">
      <w:pPr>
        <w:pStyle w:val="29"/>
        <w:bidi w:val="0"/>
        <w:jc w:val="center"/>
      </w:pPr>
    </w:p>
    <w:p w14:paraId="42B5660E">
      <w:pPr>
        <w:rPr>
          <w:rFonts w:hint="default"/>
          <w:lang w:val="en-US" w:eastAsia="zh-CN"/>
        </w:rPr>
      </w:pPr>
      <w:r>
        <w:rPr>
          <w:rFonts w:hint="default"/>
          <w:lang w:val="en-US" w:eastAsia="zh-CN"/>
        </w:rPr>
        <w:br w:type="page"/>
      </w:r>
    </w:p>
    <w:p w14:paraId="780780CD">
      <w:pPr>
        <w:pStyle w:val="31"/>
        <w:bidi w:val="0"/>
        <w:rPr>
          <w:rFonts w:hint="default"/>
          <w:lang w:val="en-US" w:eastAsia="zh-CN"/>
        </w:rPr>
      </w:pPr>
      <w:bookmarkStart w:id="13" w:name="_Toc26642"/>
      <w:r>
        <w:rPr>
          <w:rFonts w:hint="default"/>
          <w:lang w:val="en-US" w:eastAsia="zh-CN"/>
        </w:rPr>
        <w:t>年度招聘和储备计划</w:t>
      </w:r>
      <w:bookmarkEnd w:id="13"/>
    </w:p>
    <w:p w14:paraId="1A24F040">
      <w:pPr>
        <w:pStyle w:val="29"/>
        <w:bidi w:val="0"/>
        <w:rPr>
          <w:rFonts w:hint="default"/>
          <w:lang w:val="en-US" w:eastAsia="zh-CN"/>
        </w:rPr>
      </w:pPr>
      <w:r>
        <w:rPr>
          <w:rFonts w:hint="default"/>
          <w:lang w:val="en-US" w:eastAsia="zh-CN"/>
        </w:rPr>
        <w:t>根据2025年度工作重点估算人力需求，并对现有人员的分析，进一步完成年度招聘和储备计划。人员招聘计划预计2人，特别是软件运维工程师</w:t>
      </w:r>
      <w:r>
        <w:rPr>
          <w:rFonts w:hint="eastAsia"/>
          <w:lang w:val="en-US" w:eastAsia="zh-CN"/>
        </w:rPr>
        <w:t>、研发工程师各1人</w:t>
      </w:r>
      <w:r>
        <w:rPr>
          <w:rFonts w:hint="default"/>
          <w:lang w:val="en-US" w:eastAsia="zh-CN"/>
        </w:rPr>
        <w:t>。计划储备运维</w:t>
      </w:r>
      <w:r>
        <w:rPr>
          <w:rFonts w:hint="eastAsia"/>
          <w:lang w:val="en-US" w:eastAsia="zh-CN"/>
        </w:rPr>
        <w:t>项目经理</w:t>
      </w:r>
      <w:r>
        <w:rPr>
          <w:rFonts w:hint="default"/>
          <w:lang w:val="en-US" w:eastAsia="zh-CN"/>
        </w:rPr>
        <w:t>2人。内部储备，从现有运维工程师选拔。要求人员储备完成</w:t>
      </w:r>
      <w:r>
        <w:rPr>
          <w:rFonts w:hint="eastAsia"/>
          <w:lang w:val="en-US" w:eastAsia="zh-CN"/>
        </w:rPr>
        <w:t>率</w:t>
      </w:r>
      <w:r>
        <w:rPr>
          <w:rFonts w:hint="default"/>
          <w:lang w:val="en-US" w:eastAsia="zh-CN"/>
        </w:rPr>
        <w:t>≥90%</w:t>
      </w:r>
      <w:r>
        <w:rPr>
          <w:rFonts w:hint="eastAsia"/>
          <w:lang w:val="en-US" w:eastAsia="zh-CN"/>
        </w:rPr>
        <w:t>，</w:t>
      </w:r>
      <w:r>
        <w:rPr>
          <w:rFonts w:hint="default"/>
          <w:lang w:val="en-US" w:eastAsia="zh-CN"/>
        </w:rPr>
        <w:t>具体</w:t>
      </w:r>
      <w:r>
        <w:rPr>
          <w:rFonts w:hint="eastAsia"/>
          <w:lang w:val="en-US" w:eastAsia="zh-CN"/>
        </w:rPr>
        <w:t>完成</w:t>
      </w:r>
      <w:r>
        <w:rPr>
          <w:rFonts w:hint="default"/>
          <w:lang w:val="en-US" w:eastAsia="zh-CN"/>
        </w:rPr>
        <w:t>率按实际年度储备人数/年初运维人员总数</w:t>
      </w:r>
      <w:r>
        <w:rPr>
          <w:rFonts w:hint="eastAsia"/>
          <w:lang w:val="en-US" w:eastAsia="zh-CN"/>
        </w:rPr>
        <w:t>*100%</w:t>
      </w:r>
      <w:r>
        <w:rPr>
          <w:rFonts w:hint="default"/>
          <w:lang w:val="en-US" w:eastAsia="zh-CN"/>
        </w:rPr>
        <w:t>计算，</w:t>
      </w:r>
      <w:r>
        <w:rPr>
          <w:rFonts w:hint="eastAsia"/>
          <w:lang w:val="en-US" w:eastAsia="zh-CN"/>
        </w:rPr>
        <w:t>招聘到岗率</w:t>
      </w:r>
      <w:r>
        <w:rPr>
          <w:rFonts w:hint="default"/>
          <w:lang w:val="en-US" w:eastAsia="zh-CN"/>
        </w:rPr>
        <w:t>≥90%</w:t>
      </w:r>
      <w:r>
        <w:rPr>
          <w:rFonts w:hint="eastAsia"/>
          <w:lang w:val="en-US" w:eastAsia="zh-CN"/>
        </w:rPr>
        <w:t>，具体到岗率按年度招聘运维人员及时到岗总人数/年度招聘运维总人数*100%计算</w:t>
      </w:r>
      <w:r>
        <w:rPr>
          <w:rFonts w:hint="default"/>
          <w:lang w:val="en-US" w:eastAsia="zh-CN"/>
        </w:rPr>
        <w:t>，每年度考核一次。</w:t>
      </w:r>
    </w:p>
    <w:p w14:paraId="613CBD9C">
      <w:pPr>
        <w:pStyle w:val="31"/>
        <w:bidi w:val="0"/>
      </w:pPr>
      <w:bookmarkStart w:id="14" w:name="_Toc23214"/>
      <w:r>
        <w:t>人员培训及能力提升</w:t>
      </w:r>
      <w:bookmarkEnd w:id="14"/>
    </w:p>
    <w:p w14:paraId="23B12211">
      <w:pPr>
        <w:pStyle w:val="29"/>
        <w:bidi w:val="0"/>
      </w:pPr>
      <w:r>
        <w:t>通过培训，可以提高员工的综合素质，促使员工操作技能和职位得到更高的提升；搭建员工学习新技术和新方法的平台，并创造机会让员工将所学的知识应用于工作实践，以确保公司收益增长，促进公司稳步发展；根据公司需要，组织员工参加各种资质或从业资格的培训考试，获得相应的资质或资格证书。</w:t>
      </w:r>
    </w:p>
    <w:p w14:paraId="2F5F82EC">
      <w:pPr>
        <w:pStyle w:val="29"/>
        <w:bidi w:val="0"/>
      </w:pPr>
      <w:r>
        <w:t>2025年培训投入预算</w:t>
      </w:r>
      <w:r>
        <w:rPr>
          <w:rFonts w:hint="eastAsia"/>
          <w:lang w:val="en-US" w:eastAsia="zh-CN"/>
        </w:rPr>
        <w:t>10</w:t>
      </w:r>
      <w:r>
        <w:t>万元。</w:t>
      </w:r>
    </w:p>
    <w:p w14:paraId="07AC4E62">
      <w:pPr>
        <w:pStyle w:val="29"/>
        <w:bidi w:val="0"/>
        <w:rPr>
          <w:rFonts w:hint="default" w:eastAsia="宋体"/>
          <w:lang w:val="en-US" w:eastAsia="zh-CN"/>
        </w:rPr>
      </w:pPr>
      <w:r>
        <w:t>公司</w:t>
      </w:r>
      <w:r>
        <w:rPr>
          <w:rFonts w:hint="eastAsia"/>
          <w:lang w:eastAsia="zh-CN"/>
        </w:rPr>
        <w:t>人力部</w:t>
      </w:r>
      <w:r>
        <w:t>根据预算和培训要求，仔细获取各个部门、各个岗位的培训需求，制定培训计划，并完成培训计划的实施。</w:t>
      </w:r>
      <w:r>
        <w:rPr>
          <w:rFonts w:hint="eastAsia"/>
          <w:lang w:val="en-US" w:eastAsia="zh-CN"/>
        </w:rPr>
        <w:t>要求培训完成率</w:t>
      </w:r>
      <w:r>
        <w:rPr>
          <w:rFonts w:hint="default"/>
          <w:lang w:val="en-US" w:eastAsia="zh-CN"/>
        </w:rPr>
        <w:t>≥9</w:t>
      </w:r>
      <w:r>
        <w:rPr>
          <w:rFonts w:hint="eastAsia"/>
          <w:lang w:val="en-US" w:eastAsia="zh-CN"/>
        </w:rPr>
        <w:t>5</w:t>
      </w:r>
      <w:r>
        <w:rPr>
          <w:rFonts w:hint="default"/>
          <w:lang w:val="en-US" w:eastAsia="zh-CN"/>
        </w:rPr>
        <w:t>%</w:t>
      </w:r>
      <w:r>
        <w:rPr>
          <w:rFonts w:hint="eastAsia"/>
          <w:lang w:val="en-US" w:eastAsia="zh-CN"/>
        </w:rPr>
        <w:t>，具体完成率按</w:t>
      </w:r>
      <w:r>
        <w:rPr>
          <w:rFonts w:hint="eastAsia"/>
        </w:rPr>
        <w:t>累计培训课程数/计划培训课数*100%</w:t>
      </w:r>
      <w:r>
        <w:rPr>
          <w:rFonts w:hint="eastAsia"/>
          <w:lang w:val="en-US" w:eastAsia="zh-CN"/>
        </w:rPr>
        <w:t>计算，每月考核一次。</w:t>
      </w:r>
    </w:p>
    <w:p w14:paraId="7519F310">
      <w:pPr>
        <w:spacing w:line="25" w:lineRule="auto"/>
        <w:rPr>
          <w:rFonts w:ascii="Arial"/>
          <w:sz w:val="2"/>
        </w:rPr>
      </w:pPr>
    </w:p>
    <w:tbl>
      <w:tblPr>
        <w:tblStyle w:val="20"/>
        <w:tblW w:w="65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61"/>
        <w:gridCol w:w="2100"/>
        <w:gridCol w:w="1850"/>
        <w:gridCol w:w="750"/>
        <w:gridCol w:w="1189"/>
      </w:tblGrid>
      <w:tr w14:paraId="2AE68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DD5BE9">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rPr>
              <w:t>编号</w:t>
            </w:r>
          </w:p>
        </w:tc>
        <w:tc>
          <w:tcPr>
            <w:tcW w:w="21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D6221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rPr>
              <w:t>培训内容</w:t>
            </w:r>
          </w:p>
        </w:tc>
        <w:tc>
          <w:tcPr>
            <w:tcW w:w="18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5209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rPr>
              <w:t>培训对象</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6441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rPr>
              <w:t>培训人员</w:t>
            </w:r>
          </w:p>
        </w:tc>
        <w:tc>
          <w:tcPr>
            <w:tcW w:w="11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48C59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rPr>
              <w:t>时间</w:t>
            </w:r>
          </w:p>
        </w:tc>
      </w:tr>
      <w:tr w14:paraId="04B21A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FD2BF2">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8E76F">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ITSS</w:t>
            </w:r>
            <w:r>
              <w:rPr>
                <w:rStyle w:val="42"/>
                <w:snapToGrid w:val="0"/>
                <w:color w:val="000000"/>
                <w:lang w:val="en-US" w:eastAsia="zh-CN"/>
              </w:rPr>
              <w:t>标准培训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C60900">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运服务相关人员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8DF2CD">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外聘</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277295">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1月</w:t>
            </w:r>
          </w:p>
        </w:tc>
      </w:tr>
      <w:tr w14:paraId="13FAF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69F351">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51ED2">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运维服务工具使用</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88CCE9">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运维部全员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A00310">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9C05A8">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1月</w:t>
            </w:r>
          </w:p>
        </w:tc>
      </w:tr>
      <w:tr w14:paraId="1B5A3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A3D785">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900E4F">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入职培训（包括制度与企业文化</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B03F72">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D8C091">
            <w:pPr>
              <w:keepNext w:val="0"/>
              <w:keepLines w:val="0"/>
              <w:widowControl/>
              <w:suppressLineNumbers w:val="0"/>
              <w:jc w:val="both"/>
              <w:textAlignment w:val="center"/>
              <w:rPr>
                <w:rFonts w:hint="default" w:ascii="宋体" w:hAnsi="宋体" w:eastAsia="宋体" w:cs="宋体"/>
                <w:i w:val="0"/>
                <w:iCs w:val="0"/>
                <w:color w:val="000000"/>
                <w:sz w:val="16"/>
                <w:szCs w:val="16"/>
                <w:u w:val="none"/>
                <w:lang w:val="en-US"/>
              </w:rPr>
            </w:pPr>
            <w:r>
              <w:rPr>
                <w:rFonts w:hint="eastAsia" w:ascii="宋体" w:hAnsi="宋体" w:eastAsia="宋体" w:cs="宋体"/>
                <w:i w:val="0"/>
                <w:iCs w:val="0"/>
                <w:snapToGrid w:val="0"/>
                <w:color w:val="000000"/>
                <w:kern w:val="0"/>
                <w:sz w:val="16"/>
                <w:szCs w:val="16"/>
                <w:u w:val="none"/>
                <w:lang w:val="en-US" w:eastAsia="zh-CN"/>
              </w:rPr>
              <w:t>各模块负责人</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40BECF">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3月</w:t>
            </w:r>
          </w:p>
        </w:tc>
      </w:tr>
      <w:tr w14:paraId="4A297B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BCF14D">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F08E66">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公司产品培训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9C692D">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69B93B">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1F1553">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3月</w:t>
            </w:r>
          </w:p>
        </w:tc>
      </w:tr>
      <w:tr w14:paraId="220EC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BEF348">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BF9CD3">
            <w:pPr>
              <w:keepNext w:val="0"/>
              <w:keepLines w:val="0"/>
              <w:widowControl/>
              <w:suppressLineNumbers w:val="0"/>
              <w:tabs>
                <w:tab w:val="center" w:pos="1320"/>
              </w:tabs>
              <w:jc w:val="left"/>
              <w:textAlignment w:val="center"/>
              <w:rPr>
                <w:rFonts w:hint="eastAsia"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产品测试用例编写</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92E41C">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运维部、研发部</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DADC0F">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9771D6">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3月</w:t>
            </w:r>
          </w:p>
        </w:tc>
      </w:tr>
      <w:tr w14:paraId="07BE89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2D88CB">
            <w:pPr>
              <w:keepNext w:val="0"/>
              <w:keepLines w:val="0"/>
              <w:widowControl/>
              <w:numPr>
                <w:ilvl w:val="0"/>
                <w:numId w:val="4"/>
              </w:numPr>
              <w:suppressLineNumbers w:val="0"/>
              <w:tabs>
                <w:tab w:val="center" w:pos="1320"/>
              </w:tabs>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37555E">
            <w:pPr>
              <w:keepNext w:val="0"/>
              <w:keepLines w:val="0"/>
              <w:widowControl/>
              <w:suppressLineNumbers w:val="0"/>
              <w:tabs>
                <w:tab w:val="center" w:pos="1320"/>
              </w:tabs>
              <w:jc w:val="left"/>
              <w:textAlignment w:val="center"/>
              <w:rPr>
                <w:rFonts w:hint="default" w:ascii="宋体" w:hAnsi="宋体" w:eastAsia="宋体" w:cs="宋体"/>
                <w:i w:val="0"/>
                <w:iCs w:val="0"/>
                <w:color w:val="000000"/>
                <w:sz w:val="16"/>
                <w:szCs w:val="16"/>
                <w:u w:val="none"/>
                <w:lang w:val="en-US" w:eastAsia="zh-CN"/>
              </w:rPr>
            </w:pPr>
            <w:r>
              <w:rPr>
                <w:rFonts w:hint="eastAsia" w:ascii="宋体" w:hAnsi="宋体" w:eastAsia="宋体" w:cs="宋体"/>
                <w:i w:val="0"/>
                <w:iCs w:val="0"/>
                <w:color w:val="000000"/>
                <w:sz w:val="16"/>
                <w:szCs w:val="16"/>
                <w:u w:val="none"/>
                <w:lang w:val="en-US" w:eastAsia="zh-CN"/>
              </w:rPr>
              <w:t>运维服务服务知识</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6890CF">
            <w:pPr>
              <w:keepNext w:val="0"/>
              <w:keepLines w:val="0"/>
              <w:widowControl/>
              <w:suppressLineNumbers w:val="0"/>
              <w:jc w:val="left"/>
              <w:textAlignment w:val="center"/>
              <w:rPr>
                <w:rFonts w:hint="default" w:ascii="宋体" w:hAnsi="宋体" w:eastAsia="宋体" w:cs="宋体"/>
                <w:i w:val="0"/>
                <w:iCs w:val="0"/>
                <w:color w:val="000000"/>
                <w:sz w:val="16"/>
                <w:szCs w:val="16"/>
                <w:u w:val="none"/>
                <w:lang w:val="en-US" w:eastAsia="zh-CN"/>
              </w:rPr>
            </w:pPr>
            <w:r>
              <w:rPr>
                <w:rFonts w:hint="eastAsia" w:ascii="宋体" w:hAnsi="宋体" w:eastAsia="宋体" w:cs="宋体"/>
                <w:i w:val="0"/>
                <w:iCs w:val="0"/>
                <w:color w:val="000000"/>
                <w:sz w:val="16"/>
                <w:szCs w:val="16"/>
                <w:u w:val="none"/>
                <w:lang w:val="en-US" w:eastAsia="zh-CN"/>
              </w:rPr>
              <w:t>全体运维人员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E15E98">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EE0BDB">
            <w:pPr>
              <w:keepNext w:val="0"/>
              <w:keepLines w:val="0"/>
              <w:widowControl/>
              <w:suppressLineNumbers w:val="0"/>
              <w:jc w:val="both"/>
              <w:textAlignment w:val="center"/>
              <w:rPr>
                <w:rFonts w:hint="default" w:ascii="宋体" w:hAnsi="宋体" w:eastAsia="宋体" w:cs="宋体"/>
                <w:i w:val="0"/>
                <w:iCs w:val="0"/>
                <w:color w:val="000000"/>
                <w:sz w:val="16"/>
                <w:szCs w:val="16"/>
                <w:u w:val="none"/>
                <w:lang w:val="en-US" w:eastAsia="zh-CN"/>
              </w:rPr>
            </w:pPr>
            <w:r>
              <w:rPr>
                <w:rFonts w:hint="eastAsia" w:ascii="宋体" w:hAnsi="宋体" w:eastAsia="宋体" w:cs="宋体"/>
                <w:i w:val="0"/>
                <w:iCs w:val="0"/>
                <w:color w:val="000000"/>
                <w:sz w:val="16"/>
                <w:szCs w:val="16"/>
                <w:u w:val="none"/>
                <w:lang w:val="en-US" w:eastAsia="zh-CN"/>
              </w:rPr>
              <w:t>3月</w:t>
            </w:r>
          </w:p>
        </w:tc>
      </w:tr>
      <w:tr w14:paraId="6DBBCB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2F1A67">
            <w:pPr>
              <w:keepNext w:val="0"/>
              <w:keepLines w:val="0"/>
              <w:widowControl/>
              <w:numPr>
                <w:ilvl w:val="0"/>
                <w:numId w:val="4"/>
              </w:numPr>
              <w:suppressLineNumbers w:val="0"/>
              <w:tabs>
                <w:tab w:val="center" w:pos="1320"/>
              </w:tabs>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D2EFE2">
            <w:pPr>
              <w:keepNext w:val="0"/>
              <w:keepLines w:val="0"/>
              <w:widowControl/>
              <w:suppressLineNumbers w:val="0"/>
              <w:tabs>
                <w:tab w:val="center" w:pos="1320"/>
              </w:tabs>
              <w:jc w:val="left"/>
              <w:textAlignment w:val="center"/>
              <w:rPr>
                <w:rFonts w:hint="default"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运维服务制度</w:t>
            </w:r>
            <w:r>
              <w:rPr>
                <w:rFonts w:hint="eastAsia" w:ascii="宋体" w:hAnsi="宋体" w:eastAsia="宋体" w:cs="宋体"/>
                <w:i w:val="0"/>
                <w:iCs w:val="0"/>
                <w:snapToGrid w:val="0"/>
                <w:color w:val="000000"/>
                <w:kern w:val="0"/>
                <w:sz w:val="16"/>
                <w:szCs w:val="16"/>
                <w:u w:val="none"/>
                <w:lang w:val="en-US" w:eastAsia="zh-CN"/>
              </w:rPr>
              <w:tab/>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4815F5">
            <w:pPr>
              <w:keepNext w:val="0"/>
              <w:keepLines w:val="0"/>
              <w:widowControl/>
              <w:suppressLineNumbers w:val="0"/>
              <w:jc w:val="left"/>
              <w:textAlignment w:val="center"/>
              <w:rPr>
                <w:rFonts w:hint="default"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各相关部门</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670302">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604B67">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3月</w:t>
            </w:r>
          </w:p>
        </w:tc>
      </w:tr>
      <w:tr w14:paraId="7DD52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B3C9AF">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2F2769">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高级开发培训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2BF687">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FF77F9">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田力</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4249C8">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4月</w:t>
            </w:r>
          </w:p>
        </w:tc>
      </w:tr>
      <w:tr w14:paraId="38A67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0895AE">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D76013">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开发规范及代码质量</w:t>
            </w:r>
            <w:r>
              <w:rPr>
                <w:rStyle w:val="42"/>
                <w:snapToGrid w:val="0"/>
                <w:color w:val="000000"/>
                <w:lang w:val="en-US" w:eastAsia="zh-CN"/>
              </w:rPr>
              <w:t>介绍</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14A860">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9F820A">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田力</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45F34B">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4月</w:t>
            </w:r>
          </w:p>
        </w:tc>
      </w:tr>
      <w:tr w14:paraId="5DE91A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114B77">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8D874E">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信息、数据安全常识</w:t>
            </w:r>
            <w:r>
              <w:rPr>
                <w:rStyle w:val="42"/>
                <w:snapToGrid w:val="0"/>
                <w:color w:val="000000"/>
                <w:lang w:val="en-US" w:eastAsia="zh-CN"/>
              </w:rPr>
              <w:t>及应对策略</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6AE158">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运维项目经理、安全检</w:t>
            </w:r>
            <w:r>
              <w:rPr>
                <w:rStyle w:val="42"/>
                <w:snapToGrid w:val="0"/>
                <w:color w:val="000000"/>
                <w:lang w:val="en-US" w:eastAsia="zh-CN"/>
              </w:rPr>
              <w:t>测工程师</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A2047C">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7BE4AF">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4月</w:t>
            </w:r>
          </w:p>
        </w:tc>
      </w:tr>
      <w:tr w14:paraId="7D7130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58A727">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21A850">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服务台人员操作流程</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E0741">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服务台全员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EF50ED">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F6D832">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4月</w:t>
            </w:r>
          </w:p>
        </w:tc>
      </w:tr>
      <w:tr w14:paraId="5D3DF0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7C919E">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16DCE4">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应急响应规范与应急</w:t>
            </w:r>
            <w:r>
              <w:rPr>
                <w:rStyle w:val="42"/>
                <w:snapToGrid w:val="0"/>
                <w:color w:val="000000"/>
                <w:lang w:val="en-US" w:eastAsia="zh-CN"/>
              </w:rPr>
              <w:t>预案培训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C593DE">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运维项目经理</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52E29F">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孙文</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00E737">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4月</w:t>
            </w:r>
          </w:p>
        </w:tc>
      </w:tr>
      <w:tr w14:paraId="123853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C8CE9A">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1B4E6D">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ITSS</w:t>
            </w:r>
            <w:r>
              <w:rPr>
                <w:rStyle w:val="42"/>
                <w:snapToGrid w:val="0"/>
                <w:color w:val="000000"/>
                <w:lang w:val="en-US" w:eastAsia="zh-CN"/>
              </w:rPr>
              <w:t>标准培训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8C6161">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运服务相关人员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01E0DC">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外聘</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97C2A1">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4月</w:t>
            </w:r>
          </w:p>
        </w:tc>
      </w:tr>
      <w:tr w14:paraId="77CBD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861C82">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D7A4AF">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Antd</w:t>
            </w:r>
            <w:r>
              <w:rPr>
                <w:rStyle w:val="42"/>
                <w:snapToGrid w:val="0"/>
                <w:color w:val="000000"/>
                <w:lang w:val="en-US" w:eastAsia="zh-CN"/>
              </w:rPr>
              <w:t>前端框架介绍</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B656F0">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EDA75E">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3B9289">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5月</w:t>
            </w:r>
          </w:p>
        </w:tc>
      </w:tr>
      <w:tr w14:paraId="024119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4FFA47">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5BADDD">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入职培训（包括制度与企业文化</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E72075">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F820E1">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各模块</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7A1E73">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6月</w:t>
            </w:r>
          </w:p>
        </w:tc>
      </w:tr>
      <w:tr w14:paraId="13252D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4EA5C2">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99BBE9">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公司产品培训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A60BAF">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F7B183">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93F4D1">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6月</w:t>
            </w:r>
          </w:p>
        </w:tc>
      </w:tr>
      <w:tr w14:paraId="3C7F0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DACFE4">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81CAB8">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数据库规范介绍</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4BE6C2">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运维部、研发部</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2FB8AB">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9DF28C">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6月</w:t>
            </w:r>
          </w:p>
        </w:tc>
      </w:tr>
      <w:tr w14:paraId="62E28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6E81D0">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D50CB5">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IT</w:t>
            </w:r>
            <w:r>
              <w:rPr>
                <w:rStyle w:val="42"/>
                <w:snapToGrid w:val="0"/>
                <w:color w:val="000000"/>
                <w:lang w:val="en-US" w:eastAsia="zh-CN"/>
              </w:rPr>
              <w:t>服务项目经理</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FAF47A">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部分人员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416B5E">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外聘</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F8A19C">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6月</w:t>
            </w:r>
          </w:p>
        </w:tc>
      </w:tr>
      <w:tr w14:paraId="458B8F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E1BBF8">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82BC77">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运维服务工具使用</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D35EB3">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运维部全员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4AE5E1">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6724B3">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6月</w:t>
            </w:r>
          </w:p>
        </w:tc>
      </w:tr>
      <w:tr w14:paraId="05B247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19F9AB">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0397B4">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产品服务化规范</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6BFD06">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运维部全员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F030C0">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SA"/>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B97A08">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7月</w:t>
            </w:r>
          </w:p>
        </w:tc>
      </w:tr>
      <w:tr w14:paraId="1994F7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88DF3D">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A7DD6C">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云数据中心建设模式和网络安全</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C7A912">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运维项目经理、安全检</w:t>
            </w:r>
            <w:r>
              <w:rPr>
                <w:rStyle w:val="42"/>
                <w:snapToGrid w:val="0"/>
                <w:color w:val="000000"/>
                <w:lang w:val="en-US" w:eastAsia="zh-CN"/>
              </w:rPr>
              <w:t>测工程师</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C6E8D5">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49DD21">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7月</w:t>
            </w:r>
          </w:p>
        </w:tc>
      </w:tr>
      <w:tr w14:paraId="7E23D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0BC6F1">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745B4C">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交付规范</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AF7967">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运维部全员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114E8A">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D49AAB">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7月</w:t>
            </w:r>
          </w:p>
        </w:tc>
      </w:tr>
      <w:tr w14:paraId="6E5A5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B6C35C">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A47F0B">
            <w:pPr>
              <w:keepNext w:val="0"/>
              <w:keepLines w:val="0"/>
              <w:widowControl/>
              <w:suppressLineNumbers w:val="0"/>
              <w:tabs>
                <w:tab w:val="center" w:pos="1320"/>
              </w:tabs>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运维服务制度</w:t>
            </w:r>
            <w:r>
              <w:rPr>
                <w:rFonts w:hint="eastAsia" w:ascii="宋体" w:hAnsi="宋体" w:eastAsia="宋体" w:cs="宋体"/>
                <w:i w:val="0"/>
                <w:iCs w:val="0"/>
                <w:snapToGrid w:val="0"/>
                <w:color w:val="000000"/>
                <w:kern w:val="0"/>
                <w:sz w:val="16"/>
                <w:szCs w:val="16"/>
                <w:u w:val="none"/>
                <w:lang w:val="en-US" w:eastAsia="zh-CN"/>
              </w:rPr>
              <w:tab/>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62A40D">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各相关部门</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7667A2">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B1D528">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7月</w:t>
            </w:r>
          </w:p>
        </w:tc>
      </w:tr>
      <w:tr w14:paraId="2DD6F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415E3D">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F23E9F">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高级开发培训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9A2208">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9360EC">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田力</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4B2636">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8月</w:t>
            </w:r>
          </w:p>
        </w:tc>
      </w:tr>
      <w:tr w14:paraId="1B80B1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73072C">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CEDC63">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开发规范及代码质量</w:t>
            </w:r>
            <w:r>
              <w:rPr>
                <w:rStyle w:val="42"/>
                <w:snapToGrid w:val="0"/>
                <w:color w:val="000000"/>
                <w:lang w:val="en-US" w:eastAsia="zh-CN"/>
              </w:rPr>
              <w:t>介绍</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CFA969">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7C97EE">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田力</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A67444">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rPr>
              <w:t>8月</w:t>
            </w:r>
          </w:p>
        </w:tc>
      </w:tr>
      <w:tr w14:paraId="71157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68CD55">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C0DB66">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入职培训（包括制度与企业文化</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76B525">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68B3D2">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各模块负责人</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5B52C5">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9月</w:t>
            </w:r>
          </w:p>
        </w:tc>
      </w:tr>
      <w:tr w14:paraId="4257F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8267A5">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E91C21">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公司产品培训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0DC38F">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7D5FE9">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6ADD88">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9月</w:t>
            </w:r>
          </w:p>
        </w:tc>
      </w:tr>
      <w:tr w14:paraId="1C7334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EB15D0">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702EC7">
            <w:pPr>
              <w:keepNext w:val="0"/>
              <w:keepLines w:val="0"/>
              <w:widowControl/>
              <w:suppressLineNumbers w:val="0"/>
              <w:jc w:val="left"/>
              <w:textAlignment w:val="center"/>
              <w:rPr>
                <w:rFonts w:hint="default"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信息、数据安全常识</w:t>
            </w:r>
            <w:r>
              <w:rPr>
                <w:rStyle w:val="42"/>
                <w:snapToGrid w:val="0"/>
                <w:color w:val="000000"/>
                <w:lang w:val="en-US" w:eastAsia="zh-CN"/>
              </w:rPr>
              <w:t>及应对策略</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1EF958">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运维项目经理、安全检</w:t>
            </w:r>
            <w:r>
              <w:rPr>
                <w:rStyle w:val="42"/>
                <w:snapToGrid w:val="0"/>
                <w:color w:val="000000"/>
                <w:lang w:val="en-US" w:eastAsia="zh-CN"/>
              </w:rPr>
              <w:t>测工程师</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2ECE23">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145F4B">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9月</w:t>
            </w:r>
          </w:p>
        </w:tc>
      </w:tr>
      <w:tr w14:paraId="07606A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31FA36">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F9C7B8">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产品测试用例编写</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F32E55">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运维部、研发部</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F48E3B">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E62218">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9月</w:t>
            </w:r>
          </w:p>
        </w:tc>
      </w:tr>
      <w:tr w14:paraId="745C19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C90400">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241125">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运维服务服务知识</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7AE782">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全体运维人员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6A8403">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2BE874">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rPr>
              <w:t>9月</w:t>
            </w:r>
          </w:p>
        </w:tc>
      </w:tr>
      <w:tr w14:paraId="5DC7B1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228195">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83CF04">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服务台人员操作流程</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5B1BE8">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服务台全员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5994EA">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1BF490">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9月</w:t>
            </w:r>
          </w:p>
        </w:tc>
      </w:tr>
      <w:tr w14:paraId="1F0F03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FF7B3E">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316535">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应急响应规范与应急</w:t>
            </w:r>
            <w:r>
              <w:rPr>
                <w:rStyle w:val="42"/>
                <w:snapToGrid w:val="0"/>
                <w:color w:val="000000"/>
                <w:lang w:val="en-US" w:eastAsia="zh-CN"/>
              </w:rPr>
              <w:t>预案培训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EFAE15">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运维项目经理</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DA7A79">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孙文</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075169">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9月</w:t>
            </w:r>
          </w:p>
        </w:tc>
      </w:tr>
      <w:tr w14:paraId="63762C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CAF855">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CED9E6">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Antd</w:t>
            </w:r>
            <w:r>
              <w:rPr>
                <w:rStyle w:val="42"/>
                <w:snapToGrid w:val="0"/>
                <w:color w:val="000000"/>
                <w:lang w:val="en-US" w:eastAsia="zh-CN"/>
              </w:rPr>
              <w:t>前端框架介绍</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DA6067">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B1CFD7">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EF5F72">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11月</w:t>
            </w:r>
          </w:p>
        </w:tc>
      </w:tr>
      <w:tr w14:paraId="534521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5"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72EC0D">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4F7755">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入职培训（包括制度与企业文化</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030B69">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E745B7">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各模块负责人</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11BCDA">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12月</w:t>
            </w:r>
          </w:p>
        </w:tc>
      </w:tr>
      <w:tr w14:paraId="4853C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75A8AA">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157503">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公司产品培训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28D08B">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60F0C5">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3F51C6">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12月</w:t>
            </w:r>
          </w:p>
        </w:tc>
      </w:tr>
      <w:tr w14:paraId="55DA6C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011B8A">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AE69BA">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高级开发培训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02E7B3">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D93F5C">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rPr>
              <w:t>田力</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8F5267">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rPr>
            </w:pPr>
            <w:r>
              <w:rPr>
                <w:rFonts w:hint="eastAsia" w:ascii="宋体" w:hAnsi="宋体" w:eastAsia="宋体" w:cs="宋体"/>
                <w:i w:val="0"/>
                <w:iCs w:val="0"/>
                <w:snapToGrid w:val="0"/>
                <w:color w:val="000000"/>
                <w:kern w:val="0"/>
                <w:sz w:val="16"/>
                <w:szCs w:val="16"/>
                <w:u w:val="none"/>
                <w:lang w:val="en-US" w:eastAsia="zh-CN"/>
              </w:rPr>
              <w:t>12月</w:t>
            </w:r>
          </w:p>
        </w:tc>
      </w:tr>
    </w:tbl>
    <w:p w14:paraId="3A87D2FE">
      <w:pPr>
        <w:pStyle w:val="31"/>
        <w:bidi w:val="0"/>
      </w:pPr>
      <w:bookmarkStart w:id="15" w:name="_Toc31442"/>
      <w:r>
        <w:t>绩效考核</w:t>
      </w:r>
      <w:bookmarkEnd w:id="15"/>
    </w:p>
    <w:p w14:paraId="2A01B371">
      <w:pPr>
        <w:pStyle w:val="29"/>
        <w:bidi w:val="0"/>
      </w:pPr>
      <w:r>
        <w:t>每季度在运维部会议上公开绩效考核成绩，让员工更加清楚自己的绩效情况，做到公平、公正</w:t>
      </w:r>
      <w:r>
        <w:rPr>
          <w:rFonts w:hint="eastAsia"/>
          <w:lang w:eastAsia="zh-CN"/>
        </w:rPr>
        <w:t>、</w:t>
      </w:r>
      <w:r>
        <w:rPr>
          <w:rFonts w:hint="eastAsia"/>
          <w:lang w:val="en-US" w:eastAsia="zh-CN"/>
        </w:rPr>
        <w:t>公开。</w:t>
      </w:r>
      <w:r>
        <w:t>要求绩效考核合格率≥95%</w:t>
      </w:r>
      <w:r>
        <w:rPr>
          <w:rFonts w:hint="eastAsia"/>
          <w:lang w:eastAsia="zh-CN"/>
        </w:rPr>
        <w:t>，</w:t>
      </w:r>
      <w:r>
        <w:rPr>
          <w:rFonts w:hint="eastAsia"/>
          <w:lang w:val="en-US" w:eastAsia="zh-CN"/>
        </w:rPr>
        <w:t>具体合格率按</w:t>
      </w:r>
      <w:r>
        <w:rPr>
          <w:rFonts w:hint="eastAsia"/>
        </w:rPr>
        <w:t>绩效考核合格人数/参与考核人员总数*100%</w:t>
      </w:r>
      <w:r>
        <w:rPr>
          <w:rFonts w:hint="eastAsia"/>
          <w:lang w:val="en-US" w:eastAsia="zh-CN"/>
        </w:rPr>
        <w:t>计算</w:t>
      </w:r>
      <w:r>
        <w:t>。</w:t>
      </w:r>
    </w:p>
    <w:p w14:paraId="013B4DEE">
      <w:pPr>
        <w:pStyle w:val="31"/>
        <w:bidi w:val="0"/>
      </w:pPr>
      <w:bookmarkStart w:id="16" w:name="_Toc2734"/>
      <w:r>
        <w:t>能力评价</w:t>
      </w:r>
      <w:bookmarkEnd w:id="16"/>
    </w:p>
    <w:p w14:paraId="2490F417">
      <w:pPr>
        <w:pStyle w:val="29"/>
        <w:bidi w:val="0"/>
      </w:pPr>
      <w:r>
        <w:t>每季度在运维部会议上公开能力评价结果，让员工更加清楚自己的能力情况，做到公平、公正、公开。人员能力合格率≥95%</w:t>
      </w:r>
      <w:r>
        <w:rPr>
          <w:rFonts w:hint="eastAsia"/>
          <w:lang w:eastAsia="zh-CN"/>
        </w:rPr>
        <w:t>，</w:t>
      </w:r>
      <w:r>
        <w:rPr>
          <w:rFonts w:hint="eastAsia"/>
          <w:lang w:val="en-US" w:eastAsia="zh-CN"/>
        </w:rPr>
        <w:t>具体合格率按人员能力</w:t>
      </w:r>
      <w:r>
        <w:rPr>
          <w:rFonts w:hint="eastAsia"/>
        </w:rPr>
        <w:t>合格人数/参与</w:t>
      </w:r>
      <w:r>
        <w:rPr>
          <w:rFonts w:hint="eastAsia"/>
          <w:lang w:val="en-US" w:eastAsia="zh-CN"/>
        </w:rPr>
        <w:t>能力评价</w:t>
      </w:r>
      <w:r>
        <w:rPr>
          <w:rFonts w:hint="eastAsia"/>
        </w:rPr>
        <w:t>人员总数*100%</w:t>
      </w:r>
      <w:r>
        <w:rPr>
          <w:rFonts w:hint="eastAsia"/>
          <w:lang w:val="en-US" w:eastAsia="zh-CN"/>
        </w:rPr>
        <w:t>计算</w:t>
      </w:r>
      <w:r>
        <w:t>。</w:t>
      </w:r>
    </w:p>
    <w:p w14:paraId="6825E121">
      <w:pPr>
        <w:pStyle w:val="30"/>
        <w:bidi w:val="0"/>
        <w:rPr>
          <w:rFonts w:hint="eastAsia"/>
          <w:lang w:val="en-US" w:eastAsia="zh-CN"/>
        </w:rPr>
      </w:pPr>
      <w:bookmarkStart w:id="17" w:name="_Toc16821"/>
      <w:r>
        <w:rPr>
          <w:rFonts w:hint="eastAsia"/>
          <w:lang w:val="en-US" w:eastAsia="zh-CN"/>
        </w:rPr>
        <w:t>资源</w:t>
      </w:r>
      <w:bookmarkEnd w:id="17"/>
    </w:p>
    <w:p w14:paraId="6FD48250">
      <w:pPr>
        <w:spacing w:before="207" w:line="219" w:lineRule="auto"/>
        <w:ind w:left="450"/>
        <w:rPr>
          <w:rFonts w:ascii="宋体" w:hAnsi="宋体" w:eastAsia="宋体" w:cs="宋体"/>
          <w:sz w:val="24"/>
          <w:szCs w:val="24"/>
        </w:rPr>
      </w:pPr>
      <w:r>
        <w:rPr>
          <w:rFonts w:ascii="宋体" w:hAnsi="宋体" w:eastAsia="宋体" w:cs="宋体"/>
          <w:spacing w:val="1"/>
          <w:sz w:val="24"/>
          <w:szCs w:val="24"/>
        </w:rPr>
        <w:t>总结202</w:t>
      </w:r>
      <w:r>
        <w:rPr>
          <w:rFonts w:hint="eastAsia" w:ascii="宋体" w:hAnsi="宋体" w:eastAsia="宋体" w:cs="宋体"/>
          <w:spacing w:val="1"/>
          <w:sz w:val="24"/>
          <w:szCs w:val="24"/>
          <w:lang w:val="en-US" w:eastAsia="zh-CN"/>
        </w:rPr>
        <w:t>4</w:t>
      </w:r>
      <w:r>
        <w:rPr>
          <w:rFonts w:ascii="宋体" w:hAnsi="宋体" w:eastAsia="宋体" w:cs="宋体"/>
          <w:spacing w:val="1"/>
          <w:sz w:val="24"/>
          <w:szCs w:val="24"/>
        </w:rPr>
        <w:t>年运维服务工作中资源情况，发现我们还存在不</w:t>
      </w:r>
      <w:r>
        <w:rPr>
          <w:rFonts w:ascii="宋体" w:hAnsi="宋体" w:eastAsia="宋体" w:cs="宋体"/>
          <w:sz w:val="24"/>
          <w:szCs w:val="24"/>
        </w:rPr>
        <w:t>少可以优化的地</w:t>
      </w:r>
    </w:p>
    <w:p w14:paraId="194258CE">
      <w:pPr>
        <w:spacing w:before="113" w:line="219" w:lineRule="auto"/>
        <w:ind w:left="24"/>
        <w:rPr>
          <w:rFonts w:ascii="宋体" w:hAnsi="宋体" w:eastAsia="宋体" w:cs="宋体"/>
          <w:sz w:val="24"/>
          <w:szCs w:val="24"/>
        </w:rPr>
      </w:pPr>
      <w:r>
        <w:rPr>
          <w:rFonts w:ascii="宋体" w:hAnsi="宋体" w:eastAsia="宋体" w:cs="宋体"/>
          <w:sz w:val="24"/>
          <w:szCs w:val="24"/>
        </w:rPr>
        <w:t>方，比如计划运维需要更详细</w:t>
      </w:r>
      <w:r>
        <w:rPr>
          <w:rFonts w:hint="eastAsia" w:ascii="宋体" w:hAnsi="宋体" w:eastAsia="宋体" w:cs="宋体"/>
          <w:sz w:val="24"/>
          <w:szCs w:val="24"/>
          <w:lang w:val="en-US" w:eastAsia="zh-CN"/>
        </w:rPr>
        <w:t>禅道项目管理</w:t>
      </w:r>
      <w:r>
        <w:rPr>
          <w:rFonts w:ascii="宋体" w:hAnsi="宋体" w:eastAsia="宋体" w:cs="宋体"/>
          <w:spacing w:val="-1"/>
          <w:sz w:val="24"/>
          <w:szCs w:val="24"/>
        </w:rPr>
        <w:t>系统需要</w:t>
      </w:r>
      <w:r>
        <w:rPr>
          <w:rFonts w:hint="eastAsia" w:ascii="宋体" w:hAnsi="宋体" w:eastAsia="宋体" w:cs="宋体"/>
          <w:spacing w:val="-1"/>
          <w:sz w:val="24"/>
          <w:szCs w:val="24"/>
          <w:lang w:val="en-US" w:eastAsia="zh-CN"/>
        </w:rPr>
        <w:t>在2025年进行</w:t>
      </w:r>
      <w:r>
        <w:rPr>
          <w:rFonts w:ascii="宋体" w:hAnsi="宋体" w:eastAsia="宋体" w:cs="宋体"/>
          <w:spacing w:val="-1"/>
          <w:sz w:val="24"/>
          <w:szCs w:val="24"/>
        </w:rPr>
        <w:t>开发提升等</w:t>
      </w:r>
    </w:p>
    <w:p w14:paraId="39D1C856">
      <w:pPr>
        <w:pStyle w:val="31"/>
        <w:bidi w:val="0"/>
      </w:pPr>
      <w:bookmarkStart w:id="18" w:name="bookmark66"/>
      <w:bookmarkEnd w:id="18"/>
      <w:bookmarkStart w:id="19" w:name="bookmark17"/>
      <w:bookmarkEnd w:id="19"/>
      <w:bookmarkStart w:id="20" w:name="bookmark16"/>
      <w:bookmarkEnd w:id="20"/>
      <w:bookmarkStart w:id="21" w:name="_Toc638"/>
      <w:r>
        <w:t>运行维护工具</w:t>
      </w:r>
      <w:bookmarkEnd w:id="21"/>
    </w:p>
    <w:p w14:paraId="4766B44C">
      <w:pPr>
        <w:pStyle w:val="29"/>
        <w:bidi w:val="0"/>
      </w:pPr>
      <w:r>
        <w:t>运维工具在2025 年的应用需要加强以下几个方面的工作：</w:t>
      </w:r>
    </w:p>
    <w:p w14:paraId="13735A56">
      <w:pPr>
        <w:pStyle w:val="29"/>
        <w:numPr>
          <w:ilvl w:val="0"/>
          <w:numId w:val="5"/>
        </w:numPr>
        <w:bidi w:val="0"/>
        <w:ind w:left="425" w:leftChars="0" w:hanging="425" w:firstLineChars="0"/>
      </w:pPr>
      <w:r>
        <w:t>加强流程管理工具的改进工作：对于驻场服务项目，本年度要重点收集使用意见，对工具进行改进，提高工具的实用性；</w:t>
      </w:r>
    </w:p>
    <w:p w14:paraId="67D795F6">
      <w:pPr>
        <w:pStyle w:val="29"/>
        <w:numPr>
          <w:ilvl w:val="0"/>
          <w:numId w:val="5"/>
        </w:numPr>
        <w:bidi w:val="0"/>
        <w:ind w:left="425" w:leftChars="0" w:hanging="425" w:firstLineChars="0"/>
      </w:pPr>
      <w:r>
        <w:t>继续加强自动化监控管理工具的应用：部分有条件的项目，已经上线自动化监控管理工具，需要对运维部的主要运维工程师加强自动化监控管理工具的培训，提升操作能力。</w:t>
      </w:r>
    </w:p>
    <w:p w14:paraId="00F36DB1">
      <w:pPr>
        <w:pStyle w:val="29"/>
        <w:numPr>
          <w:ilvl w:val="0"/>
          <w:numId w:val="5"/>
        </w:numPr>
        <w:bidi w:val="0"/>
        <w:ind w:left="425" w:leftChars="0" w:hanging="425" w:firstLineChars="0"/>
      </w:pPr>
      <w:r>
        <w:rPr>
          <w:rFonts w:hint="eastAsia"/>
          <w:lang w:val="en-US" w:eastAsia="zh-CN"/>
        </w:rPr>
        <w:t>运维工具至少自评估一次。</w:t>
      </w:r>
    </w:p>
    <w:p w14:paraId="5108F750">
      <w:pPr>
        <w:pStyle w:val="31"/>
        <w:bidi w:val="0"/>
        <w:rPr>
          <w:rFonts w:hint="eastAsia"/>
          <w:lang w:val="en-US" w:eastAsia="zh-CN"/>
        </w:rPr>
      </w:pPr>
      <w:bookmarkStart w:id="22" w:name="_Toc371"/>
      <w:r>
        <w:rPr>
          <w:rFonts w:hint="eastAsia"/>
          <w:lang w:val="en-US" w:eastAsia="zh-CN"/>
        </w:rPr>
        <w:t>服务台</w:t>
      </w:r>
      <w:bookmarkEnd w:id="22"/>
    </w:p>
    <w:p w14:paraId="71185AFC">
      <w:pPr>
        <w:spacing w:line="219" w:lineRule="auto"/>
        <w:ind w:left="443"/>
        <w:rPr>
          <w:rFonts w:hint="eastAsia" w:ascii="宋体" w:hAnsi="宋体" w:eastAsia="宋体" w:cs="宋体"/>
          <w:sz w:val="24"/>
          <w:szCs w:val="24"/>
          <w:lang w:eastAsia="zh-CN"/>
        </w:rPr>
      </w:pPr>
      <w:r>
        <w:rPr>
          <w:rFonts w:ascii="宋体" w:hAnsi="宋体" w:eastAsia="宋体" w:cs="宋体"/>
          <w:spacing w:val="-1"/>
          <w:sz w:val="24"/>
          <w:szCs w:val="24"/>
        </w:rPr>
        <w:t>针对客户投诉，2025年规划做出更好的要求</w:t>
      </w:r>
      <w:r>
        <w:rPr>
          <w:rFonts w:hint="eastAsia" w:ascii="宋体" w:hAnsi="宋体" w:eastAsia="宋体" w:cs="宋体"/>
          <w:spacing w:val="-1"/>
          <w:sz w:val="24"/>
          <w:szCs w:val="24"/>
          <w:lang w:eastAsia="zh-CN"/>
        </w:rPr>
        <w:t>：</w:t>
      </w:r>
    </w:p>
    <w:p w14:paraId="3A8DC5AF">
      <w:pPr>
        <w:numPr>
          <w:ilvl w:val="0"/>
          <w:numId w:val="6"/>
        </w:numPr>
        <w:spacing w:before="18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优化客户满意度调查，做好对客户的服务，确保客户满意度≥95.5</w:t>
      </w:r>
      <w:r>
        <w:rPr>
          <w:rFonts w:ascii="宋体" w:hAnsi="宋体" w:eastAsia="宋体" w:cs="宋体"/>
          <w:spacing w:val="-37"/>
          <w:sz w:val="24"/>
          <w:szCs w:val="24"/>
        </w:rPr>
        <w:t xml:space="preserve"> </w:t>
      </w:r>
      <w:r>
        <w:rPr>
          <w:rFonts w:ascii="宋体" w:hAnsi="宋体" w:eastAsia="宋体" w:cs="宋体"/>
          <w:spacing w:val="-1"/>
          <w:sz w:val="24"/>
          <w:szCs w:val="24"/>
        </w:rPr>
        <w:t>分。</w:t>
      </w:r>
    </w:p>
    <w:p w14:paraId="51C79CD9">
      <w:pPr>
        <w:numPr>
          <w:ilvl w:val="0"/>
          <w:numId w:val="6"/>
        </w:numPr>
        <w:spacing w:before="183" w:line="365" w:lineRule="auto"/>
        <w:ind w:left="425" w:leftChars="0" w:right="15" w:hanging="425" w:firstLineChars="0"/>
        <w:rPr>
          <w:rFonts w:ascii="宋体" w:hAnsi="宋体" w:eastAsia="宋体" w:cs="宋体"/>
          <w:sz w:val="24"/>
          <w:szCs w:val="24"/>
        </w:rPr>
      </w:pPr>
      <w:r>
        <w:rPr>
          <w:rFonts w:ascii="宋体" w:hAnsi="宋体" w:eastAsia="宋体" w:cs="宋体"/>
          <w:spacing w:val="-1"/>
          <w:sz w:val="24"/>
          <w:szCs w:val="24"/>
        </w:rPr>
        <w:t>对服务台日常工作记录的完整性，用户评价记</w:t>
      </w:r>
      <w:r>
        <w:rPr>
          <w:rFonts w:ascii="宋体" w:hAnsi="宋体" w:eastAsia="宋体" w:cs="宋体"/>
          <w:spacing w:val="-2"/>
          <w:sz w:val="24"/>
          <w:szCs w:val="24"/>
        </w:rPr>
        <w:t>录的完整性等指标进行评价改</w:t>
      </w:r>
      <w:r>
        <w:rPr>
          <w:rFonts w:ascii="宋体" w:hAnsi="宋体" w:eastAsia="宋体" w:cs="宋体"/>
          <w:spacing w:val="-4"/>
          <w:sz w:val="24"/>
          <w:szCs w:val="24"/>
        </w:rPr>
        <w:t>进。</w:t>
      </w:r>
    </w:p>
    <w:p w14:paraId="2FDB9B94">
      <w:pPr>
        <w:pStyle w:val="29"/>
        <w:numPr>
          <w:ilvl w:val="0"/>
          <w:numId w:val="6"/>
        </w:numPr>
        <w:ind w:left="425" w:leftChars="0" w:hanging="425" w:firstLineChars="0"/>
        <w:rPr>
          <w:rFonts w:ascii="宋体" w:hAnsi="宋体" w:eastAsia="宋体" w:cs="宋体"/>
          <w:spacing w:val="-4"/>
          <w:sz w:val="24"/>
          <w:szCs w:val="24"/>
        </w:rPr>
      </w:pPr>
      <w:r>
        <w:rPr>
          <w:rFonts w:ascii="宋体" w:hAnsi="宋体" w:eastAsia="宋体" w:cs="宋体"/>
          <w:spacing w:val="2"/>
          <w:sz w:val="24"/>
          <w:szCs w:val="24"/>
        </w:rPr>
        <w:t>针对客户投诉，2025年规划做出更好的</w:t>
      </w:r>
      <w:r>
        <w:rPr>
          <w:rFonts w:ascii="宋体" w:hAnsi="宋体" w:eastAsia="宋体" w:cs="宋体"/>
          <w:spacing w:val="1"/>
          <w:sz w:val="24"/>
          <w:szCs w:val="24"/>
        </w:rPr>
        <w:t>要求，要求每个客户投诉都要进行</w:t>
      </w:r>
      <w:r>
        <w:rPr>
          <w:rFonts w:ascii="宋体" w:hAnsi="宋体" w:eastAsia="宋体" w:cs="宋体"/>
          <w:spacing w:val="-4"/>
          <w:sz w:val="24"/>
          <w:szCs w:val="24"/>
        </w:rPr>
        <w:t>当天有效处理，投诉24小时内有效处理率100%。</w:t>
      </w:r>
    </w:p>
    <w:p w14:paraId="6A70DA6E">
      <w:pPr>
        <w:numPr>
          <w:ilvl w:val="0"/>
          <w:numId w:val="6"/>
        </w:numPr>
        <w:spacing w:before="78" w:line="362" w:lineRule="auto"/>
        <w:ind w:left="425" w:leftChars="0" w:right="87" w:hanging="425" w:firstLineChars="0"/>
        <w:rPr>
          <w:rFonts w:ascii="宋体" w:hAnsi="宋体" w:eastAsia="宋体" w:cs="宋体"/>
          <w:sz w:val="24"/>
          <w:szCs w:val="24"/>
        </w:rPr>
      </w:pPr>
      <w:r>
        <w:rPr>
          <w:rFonts w:ascii="宋体" w:hAnsi="宋体" w:eastAsia="宋体" w:cs="宋体"/>
          <w:spacing w:val="2"/>
          <w:sz w:val="24"/>
          <w:szCs w:val="24"/>
        </w:rPr>
        <w:t>成功回访事件数占事件总数的比例，2025</w:t>
      </w:r>
      <w:r>
        <w:rPr>
          <w:rFonts w:ascii="宋体" w:hAnsi="宋体" w:eastAsia="宋体" w:cs="宋体"/>
          <w:spacing w:val="-47"/>
          <w:sz w:val="24"/>
          <w:szCs w:val="24"/>
        </w:rPr>
        <w:t xml:space="preserve"> </w:t>
      </w:r>
      <w:r>
        <w:rPr>
          <w:rFonts w:ascii="宋体" w:hAnsi="宋体" w:eastAsia="宋体" w:cs="宋体"/>
          <w:spacing w:val="2"/>
          <w:sz w:val="24"/>
          <w:szCs w:val="24"/>
        </w:rPr>
        <w:t>年规</w:t>
      </w:r>
      <w:r>
        <w:rPr>
          <w:rFonts w:ascii="宋体" w:hAnsi="宋体" w:eastAsia="宋体" w:cs="宋体"/>
          <w:spacing w:val="1"/>
          <w:sz w:val="24"/>
          <w:szCs w:val="24"/>
        </w:rPr>
        <w:t>划成功回访事件覆盖率目标</w:t>
      </w:r>
      <w:r>
        <w:rPr>
          <w:rFonts w:ascii="宋体" w:hAnsi="宋体" w:eastAsia="宋体" w:cs="宋体"/>
          <w:spacing w:val="-3"/>
          <w:sz w:val="24"/>
          <w:szCs w:val="24"/>
        </w:rPr>
        <w:t>应达到</w:t>
      </w:r>
      <w:r>
        <w:rPr>
          <w:rFonts w:ascii="宋体" w:hAnsi="宋体" w:eastAsia="宋体" w:cs="宋体"/>
          <w:spacing w:val="-49"/>
          <w:sz w:val="24"/>
          <w:szCs w:val="24"/>
        </w:rPr>
        <w:t xml:space="preserve"> </w:t>
      </w:r>
      <w:r>
        <w:rPr>
          <w:rFonts w:ascii="宋体" w:hAnsi="宋体" w:eastAsia="宋体" w:cs="宋体"/>
          <w:spacing w:val="-3"/>
          <w:sz w:val="24"/>
          <w:szCs w:val="24"/>
        </w:rPr>
        <w:t>60%。</w:t>
      </w:r>
    </w:p>
    <w:p w14:paraId="429A33BF">
      <w:pPr>
        <w:pStyle w:val="31"/>
        <w:bidi w:val="0"/>
        <w:rPr>
          <w:rFonts w:hint="eastAsia"/>
          <w:lang w:val="en-US" w:eastAsia="zh-CN"/>
        </w:rPr>
      </w:pPr>
      <w:bookmarkStart w:id="23" w:name="_Toc10197"/>
      <w:r>
        <w:rPr>
          <w:rFonts w:hint="eastAsia"/>
          <w:lang w:val="en-US" w:eastAsia="zh-CN"/>
        </w:rPr>
        <w:t>备件库</w:t>
      </w:r>
      <w:bookmarkEnd w:id="23"/>
    </w:p>
    <w:p w14:paraId="6293AC89">
      <w:pPr>
        <w:pStyle w:val="29"/>
        <w:bidi w:val="0"/>
        <w:rPr>
          <w:rFonts w:hint="eastAsia"/>
          <w:lang w:val="en-US" w:eastAsia="zh-CN"/>
        </w:rPr>
      </w:pPr>
      <w:r>
        <w:t>为确保运维服务的连续性与应急响应效率，公司将加强对备件库的标准化管理。备件管理工作的考核以季度为周期开展，核心指标为备件准确率，目标值为不低于95%</w:t>
      </w:r>
      <w:r>
        <w:rPr>
          <w:rFonts w:hint="eastAsia"/>
          <w:lang w:eastAsia="zh-CN"/>
        </w:rPr>
        <w:t>，</w:t>
      </w:r>
      <w:r>
        <w:rPr>
          <w:rFonts w:hint="eastAsia"/>
          <w:lang w:val="en-US" w:eastAsia="zh-CN"/>
        </w:rPr>
        <w:t>准确率按备件准确数量/备件总数量*100%计算。该</w:t>
      </w:r>
      <w:r>
        <w:t>指标旨在确保库存台账与实际物资一致，支持运维团队快速精准地获取所需备件，切实提升服务保障能力。</w:t>
      </w:r>
    </w:p>
    <w:p w14:paraId="00E185A5">
      <w:pPr>
        <w:pStyle w:val="31"/>
        <w:bidi w:val="0"/>
        <w:rPr>
          <w:rFonts w:hint="eastAsia"/>
          <w:lang w:val="en-US" w:eastAsia="zh-CN"/>
        </w:rPr>
      </w:pPr>
      <w:bookmarkStart w:id="24" w:name="_Toc21856"/>
      <w:r>
        <w:rPr>
          <w:rFonts w:hint="eastAsia"/>
          <w:lang w:val="en-US" w:eastAsia="zh-CN"/>
        </w:rPr>
        <w:t>服务知识</w:t>
      </w:r>
      <w:bookmarkEnd w:id="24"/>
    </w:p>
    <w:p w14:paraId="2D84720A">
      <w:pPr>
        <w:pStyle w:val="29"/>
        <w:bidi w:val="0"/>
      </w:pPr>
      <w:r>
        <w:t>202</w:t>
      </w:r>
      <w:r>
        <w:rPr>
          <w:rFonts w:hint="eastAsia"/>
          <w:lang w:val="en-US" w:eastAsia="zh-CN"/>
        </w:rPr>
        <w:t>4</w:t>
      </w:r>
      <w:r>
        <w:t>年在服务知识维护和利用方面有了较大的提高，也为运维工作的效率、质量的提高起到很好的支撑作用，但在服务知识入库审核、服务知识的覆盖面等方面还存在不足。2025年规划在服务知识覆盖面、知识入库审核等多个方面进行优化完善。</w:t>
      </w:r>
    </w:p>
    <w:p w14:paraId="00581375">
      <w:pPr>
        <w:pStyle w:val="29"/>
        <w:bidi w:val="0"/>
      </w:pPr>
      <w:r>
        <w:t>2025年的服务知识</w:t>
      </w:r>
      <w:r>
        <w:rPr>
          <w:rFonts w:hint="eastAsia"/>
          <w:lang w:val="en-US" w:eastAsia="zh-CN"/>
        </w:rPr>
        <w:t>利用率</w:t>
      </w:r>
      <w:r>
        <w:t>将</w:t>
      </w:r>
      <w:r>
        <w:rPr>
          <w:rFonts w:hint="eastAsia"/>
          <w:lang w:val="en-US" w:eastAsia="zh-CN"/>
        </w:rPr>
        <w:t>提高</w:t>
      </w:r>
      <w:r>
        <w:t>，</w:t>
      </w:r>
      <w:r>
        <w:rPr>
          <w:rFonts w:hint="eastAsia"/>
          <w:lang w:val="en-US" w:eastAsia="zh-CN"/>
        </w:rPr>
        <w:t>加强服务知识有效性审核，提高服务知识利用率</w:t>
      </w:r>
      <w:r>
        <w:t>。每季度知识</w:t>
      </w:r>
      <w:r>
        <w:rPr>
          <w:rFonts w:hint="eastAsia"/>
          <w:lang w:val="en-US" w:eastAsia="zh-CN"/>
        </w:rPr>
        <w:t>利用</w:t>
      </w:r>
      <w:r>
        <w:t>率需达到≥90%</w:t>
      </w:r>
      <w:r>
        <w:rPr>
          <w:rFonts w:hint="eastAsia"/>
          <w:lang w:eastAsia="zh-CN"/>
        </w:rPr>
        <w:t>，</w:t>
      </w:r>
      <w:r>
        <w:rPr>
          <w:rFonts w:hint="eastAsia"/>
          <w:lang w:val="en-US" w:eastAsia="zh-CN"/>
        </w:rPr>
        <w:t>利用率按</w:t>
      </w:r>
      <w:r>
        <w:rPr>
          <w:rFonts w:hint="eastAsia"/>
        </w:rPr>
        <w:t>实际被应用的知识条目数量/知识总条目数量</w:t>
      </w:r>
      <w:r>
        <w:rPr>
          <w:rFonts w:hint="eastAsia"/>
          <w:lang w:eastAsia="zh-CN"/>
        </w:rPr>
        <w:t>*</w:t>
      </w:r>
      <w:r>
        <w:rPr>
          <w:rFonts w:hint="eastAsia"/>
        </w:rPr>
        <w:t>100%</w:t>
      </w:r>
      <w:r>
        <w:rPr>
          <w:rFonts w:hint="eastAsia"/>
          <w:lang w:val="en-US" w:eastAsia="zh-CN"/>
        </w:rPr>
        <w:t>计算</w:t>
      </w:r>
      <w:r>
        <w:t>。</w:t>
      </w:r>
    </w:p>
    <w:p w14:paraId="6398377B">
      <w:pPr>
        <w:pStyle w:val="31"/>
        <w:bidi w:val="0"/>
        <w:rPr>
          <w:rFonts w:hint="eastAsia"/>
          <w:lang w:val="en-US" w:eastAsia="zh-CN"/>
        </w:rPr>
      </w:pPr>
      <w:bookmarkStart w:id="25" w:name="_Toc2909"/>
      <w:r>
        <w:rPr>
          <w:rFonts w:hint="eastAsia"/>
          <w:lang w:val="en-US" w:eastAsia="zh-CN"/>
        </w:rPr>
        <w:t>最终软件库</w:t>
      </w:r>
      <w:bookmarkEnd w:id="25"/>
    </w:p>
    <w:p w14:paraId="6521DC13">
      <w:pPr>
        <w:pStyle w:val="29"/>
        <w:bidi w:val="0"/>
      </w:pPr>
      <w:r>
        <w:rPr>
          <w:rFonts w:hint="default"/>
        </w:rPr>
        <w:t>为规范软件资源管理、保障系统稳定运行，公司拟制定《</w:t>
      </w:r>
      <w:r>
        <w:rPr>
          <w:rFonts w:hint="eastAsia"/>
          <w:lang w:val="en-US" w:eastAsia="zh-CN"/>
        </w:rPr>
        <w:t>最终软件库管理制度</w:t>
      </w:r>
      <w:r>
        <w:rPr>
          <w:rFonts w:hint="default"/>
        </w:rPr>
        <w:t>》，明确功能测试、安全漏洞扫描、兼容性验证等为必检项目，所有软件须全部达标后方可正式入库。公司设立专职审核团队，负责对拟入库软件开展全流程质量把关，完整留存测试报告及审核记录，确保过程可追溯、责任可落实。</w:t>
      </w:r>
    </w:p>
    <w:p w14:paraId="47AA17E2">
      <w:pPr>
        <w:pStyle w:val="29"/>
        <w:bidi w:val="0"/>
        <w:rPr>
          <w:rFonts w:hint="default"/>
        </w:rPr>
      </w:pPr>
      <w:r>
        <w:rPr>
          <w:rFonts w:hint="default"/>
        </w:rPr>
        <w:t>通过严格执行该标准，公司致力于实现软件库中资源的持续高可用性，年度软件可用率目标设定为不低于95%</w:t>
      </w:r>
      <w:r>
        <w:rPr>
          <w:rFonts w:hint="eastAsia"/>
          <w:lang w:eastAsia="zh-CN"/>
        </w:rPr>
        <w:t>，</w:t>
      </w:r>
      <w:r>
        <w:rPr>
          <w:rFonts w:hint="eastAsia"/>
          <w:lang w:val="en-US" w:eastAsia="zh-CN"/>
        </w:rPr>
        <w:t>可用率按</w:t>
      </w:r>
      <w:r>
        <w:rPr>
          <w:rFonts w:hint="eastAsia"/>
        </w:rPr>
        <w:t>实际被应用的知识条目数量/知识总条目数量</w:t>
      </w:r>
      <w:r>
        <w:rPr>
          <w:rFonts w:hint="eastAsia"/>
          <w:lang w:eastAsia="zh-CN"/>
        </w:rPr>
        <w:t>*</w:t>
      </w:r>
      <w:r>
        <w:rPr>
          <w:rFonts w:hint="eastAsia"/>
        </w:rPr>
        <w:t>100%</w:t>
      </w:r>
      <w:r>
        <w:rPr>
          <w:rFonts w:hint="eastAsia"/>
          <w:lang w:val="en-US" w:eastAsia="zh-CN"/>
        </w:rPr>
        <w:t>计算</w:t>
      </w:r>
      <w:r>
        <w:rPr>
          <w:rFonts w:hint="default"/>
        </w:rPr>
        <w:t>。</w:t>
      </w:r>
    </w:p>
    <w:p w14:paraId="5964D64A">
      <w:pPr>
        <w:pStyle w:val="29"/>
        <w:ind w:left="0" w:leftChars="0" w:firstLine="0" w:firstLineChars="0"/>
        <w:rPr>
          <w:rFonts w:hint="eastAsia"/>
          <w:lang w:val="en-US" w:eastAsia="zh-CN"/>
        </w:rPr>
      </w:pPr>
    </w:p>
    <w:p w14:paraId="4351578B">
      <w:pPr>
        <w:pStyle w:val="31"/>
        <w:bidi w:val="0"/>
        <w:rPr>
          <w:rFonts w:hint="default"/>
          <w:lang w:val="en-US" w:eastAsia="zh-CN"/>
        </w:rPr>
      </w:pPr>
      <w:bookmarkStart w:id="26" w:name="_Toc2938"/>
      <w:r>
        <w:rPr>
          <w:rFonts w:hint="eastAsia"/>
          <w:lang w:val="en-US" w:eastAsia="zh-CN"/>
        </w:rPr>
        <w:t>服务数据</w:t>
      </w:r>
      <w:bookmarkEnd w:id="26"/>
    </w:p>
    <w:p w14:paraId="36305AA7">
      <w:pPr>
        <w:pStyle w:val="29"/>
        <w:bidi w:val="0"/>
      </w:pPr>
      <w:r>
        <w:rPr>
          <w:rFonts w:hint="default"/>
        </w:rPr>
        <w:t>为提升运维数据的规范性与一致性，公司将制定并推行《</w:t>
      </w:r>
      <w:r>
        <w:rPr>
          <w:rFonts w:hint="eastAsia"/>
          <w:lang w:val="en-US" w:eastAsia="zh-CN"/>
        </w:rPr>
        <w:t>服务数据管理制度</w:t>
      </w:r>
      <w:r>
        <w:rPr>
          <w:rFonts w:hint="default"/>
        </w:rPr>
        <w:t>》，明确监控数据、故障记录、工单处理流程等各类数据的录入格式、字段定义及必填项规范。该</w:t>
      </w:r>
      <w:r>
        <w:rPr>
          <w:rFonts w:hint="eastAsia"/>
          <w:lang w:val="en-US" w:eastAsia="zh-CN"/>
        </w:rPr>
        <w:t>制度</w:t>
      </w:r>
      <w:r>
        <w:rPr>
          <w:rFonts w:hint="default"/>
        </w:rPr>
        <w:t>将作为数据采集工作的基本依据，为实现数据驱动决策奠定基础。</w:t>
      </w:r>
    </w:p>
    <w:p w14:paraId="4F2FC252">
      <w:pPr>
        <w:pStyle w:val="29"/>
        <w:rPr>
          <w:rFonts w:hint="default"/>
          <w:lang w:val="en-US" w:eastAsia="zh-CN"/>
        </w:rPr>
      </w:pPr>
      <w:r>
        <w:rPr>
          <w:rFonts w:hint="default"/>
        </w:rPr>
        <w:t>公司将组织运维人员参与专项培训，结合真实案例深入讲解标准要求与操作流程，并对参训人员进行考核，实行持证上岗机制，确保其熟练掌握数据采集标准后方可参与实际工作，从源头提升</w:t>
      </w:r>
      <w:r>
        <w:rPr>
          <w:rFonts w:hint="default"/>
          <w:lang w:val="en-US" w:eastAsia="zh-CN"/>
        </w:rPr>
        <w:t>数据质量。通过上述措施，致力于将整体服务数据的采集准确率提升至9</w:t>
      </w:r>
      <w:r>
        <w:rPr>
          <w:rFonts w:hint="eastAsia"/>
          <w:lang w:val="en-US" w:eastAsia="zh-CN"/>
        </w:rPr>
        <w:t>9</w:t>
      </w:r>
      <w:r>
        <w:rPr>
          <w:rFonts w:hint="default"/>
          <w:lang w:val="en-US" w:eastAsia="zh-CN"/>
        </w:rPr>
        <w:t>%以上</w:t>
      </w:r>
      <w:r>
        <w:rPr>
          <w:rFonts w:hint="eastAsia"/>
          <w:lang w:val="en-US" w:eastAsia="zh-CN"/>
        </w:rPr>
        <w:t>，准确率按服务数据的准确数量/服务数据总数*100%计算，每年考核一次</w:t>
      </w:r>
      <w:r>
        <w:rPr>
          <w:rFonts w:hint="default"/>
          <w:lang w:val="en-US" w:eastAsia="zh-CN"/>
        </w:rPr>
        <w:t>。</w:t>
      </w:r>
    </w:p>
    <w:p w14:paraId="4A225F17">
      <w:pPr>
        <w:pStyle w:val="30"/>
        <w:bidi w:val="0"/>
        <w:rPr>
          <w:rFonts w:hint="eastAsia"/>
          <w:lang w:val="en-US" w:eastAsia="zh-CN"/>
        </w:rPr>
      </w:pPr>
      <w:bookmarkStart w:id="27" w:name="_Toc19224"/>
      <w:r>
        <w:rPr>
          <w:rFonts w:hint="eastAsia"/>
          <w:lang w:val="en-US" w:eastAsia="zh-CN"/>
        </w:rPr>
        <w:t>技术</w:t>
      </w:r>
      <w:bookmarkEnd w:id="27"/>
    </w:p>
    <w:p w14:paraId="4AC603D1">
      <w:pPr>
        <w:pStyle w:val="29"/>
        <w:bidi w:val="0"/>
        <w:rPr>
          <w:rFonts w:hint="eastAsia"/>
          <w:lang w:val="en-US" w:eastAsia="zh-CN"/>
        </w:rPr>
      </w:pPr>
      <w:r>
        <w:t>根据公司2025年度经营计划部署，为系统化应对生产运维过程中现存及潜在的技术挑战，我部已建立起软件研发产品化的常态化机制。该机制旨在通过对重点、难点技术问题开展专题研究与技术攻关，形成可落地、可推广的技术实施方案与解决方案，从而有效提升运维工作效率与服务质量，持续增强用户满意度。2025年度具体技术研发目标、重点项目及实施</w:t>
      </w:r>
      <w:r>
        <w:rPr>
          <w:rFonts w:hint="eastAsia"/>
          <w:lang w:val="en-US" w:eastAsia="zh-CN"/>
        </w:rPr>
        <w:t>计划</w:t>
      </w:r>
      <w:r>
        <w:t>见《</w:t>
      </w:r>
      <w:r>
        <w:rPr>
          <w:rFonts w:hint="eastAsia"/>
        </w:rPr>
        <w:t>2025年运维研发规划</w:t>
      </w:r>
      <w:r>
        <w:t>》</w:t>
      </w:r>
    </w:p>
    <w:p w14:paraId="31C2A281">
      <w:pPr>
        <w:pStyle w:val="30"/>
        <w:bidi w:val="0"/>
        <w:rPr>
          <w:rFonts w:hint="eastAsia"/>
          <w:lang w:val="en-US" w:eastAsia="zh-CN"/>
        </w:rPr>
      </w:pPr>
      <w:bookmarkStart w:id="28" w:name="_Toc6608"/>
      <w:r>
        <w:rPr>
          <w:rFonts w:hint="eastAsia"/>
          <w:lang w:val="en-US" w:eastAsia="zh-CN"/>
        </w:rPr>
        <w:t>过程</w:t>
      </w:r>
      <w:bookmarkEnd w:id="28"/>
    </w:p>
    <w:p w14:paraId="369AD84D">
      <w:pPr>
        <w:pStyle w:val="31"/>
        <w:bidi w:val="0"/>
        <w:rPr>
          <w:rFonts w:hint="eastAsia"/>
          <w:lang w:val="en-US" w:eastAsia="zh-CN"/>
        </w:rPr>
      </w:pPr>
      <w:bookmarkStart w:id="29" w:name="_Toc23713"/>
      <w:r>
        <w:rPr>
          <w:rFonts w:hint="eastAsia"/>
          <w:lang w:val="en-US" w:eastAsia="zh-CN"/>
        </w:rPr>
        <w:t>过程框架设计</w:t>
      </w:r>
      <w:bookmarkEnd w:id="29"/>
    </w:p>
    <w:p w14:paraId="33E424FE">
      <w:pPr>
        <w:pStyle w:val="29"/>
        <w:bidi w:val="0"/>
        <w:rPr>
          <w:rFonts w:hint="eastAsia"/>
          <w:lang w:val="en-US" w:eastAsia="zh-CN"/>
        </w:rPr>
      </w:pPr>
      <w:r>
        <w:t>2025年，过程框架设计管理工作将重点推进框架的持续优化与迭代。依据前期调研及运行反馈，以季度为周期对现有过程框架进行评估与动态调整。例如，为高效响应紧急业务软件上线需求，将专门设计并增设“快速审核通道”，明确简化的审核流程与权责分工，精简冗余及非必要环节，在保障质量与合规的前提下，显著提升紧急需求的响应与交付速度</w:t>
      </w:r>
    </w:p>
    <w:p w14:paraId="5C16A95F">
      <w:pPr>
        <w:pStyle w:val="31"/>
        <w:bidi w:val="0"/>
        <w:rPr>
          <w:rFonts w:hint="eastAsia"/>
          <w:lang w:val="en-US" w:eastAsia="zh-CN"/>
        </w:rPr>
      </w:pPr>
      <w:bookmarkStart w:id="30" w:name="_Toc16433"/>
      <w:r>
        <w:rPr>
          <w:rFonts w:hint="eastAsia"/>
          <w:lang w:val="en-US" w:eastAsia="zh-CN"/>
        </w:rPr>
        <w:t>服务级别管理</w:t>
      </w:r>
      <w:bookmarkEnd w:id="30"/>
    </w:p>
    <w:p w14:paraId="08BD937F">
      <w:pPr>
        <w:pStyle w:val="29"/>
        <w:bidi w:val="0"/>
        <w:rPr>
          <w:rFonts w:hint="eastAsia"/>
          <w:lang w:val="en-US" w:eastAsia="zh-CN"/>
        </w:rPr>
      </w:pPr>
      <w:r>
        <w:t>2025年，服务级别管理工作将重点强化服务级别协议（SLA）的常态化监测与执行力度。要求各项目在运维过程中，对所有影响服务级别指标达成的事件进行完整跟踪与记录，并依据协议要求，按月量化计算各项关键指标数值。相关统计结果与达标情况需定期在服务报告中予以正式发布，以便各方清晰掌握服务水平现状，并为持续的服务优化提供数据支撑。</w:t>
      </w:r>
    </w:p>
    <w:p w14:paraId="699ABC13">
      <w:pPr>
        <w:pStyle w:val="31"/>
        <w:bidi w:val="0"/>
        <w:rPr>
          <w:rFonts w:hint="eastAsia"/>
          <w:lang w:val="en-US" w:eastAsia="zh-CN"/>
        </w:rPr>
      </w:pPr>
      <w:bookmarkStart w:id="31" w:name="_Toc9895"/>
      <w:r>
        <w:rPr>
          <w:rFonts w:hint="eastAsia"/>
          <w:lang w:val="en-US" w:eastAsia="zh-CN"/>
        </w:rPr>
        <w:t>服务报告管理</w:t>
      </w:r>
      <w:bookmarkEnd w:id="31"/>
    </w:p>
    <w:p w14:paraId="667B74A3">
      <w:pPr>
        <w:pStyle w:val="29"/>
        <w:bidi w:val="0"/>
      </w:pPr>
      <w:r>
        <w:rPr>
          <w:rFonts w:hint="default"/>
        </w:rPr>
        <w:t>2025年，服务报告管理工作将重点围绕以下两方面深入开展：</w:t>
      </w:r>
    </w:p>
    <w:p w14:paraId="74BEE058">
      <w:pPr>
        <w:pStyle w:val="29"/>
        <w:numPr>
          <w:ilvl w:val="0"/>
          <w:numId w:val="7"/>
        </w:numPr>
        <w:bidi w:val="0"/>
        <w:ind w:left="425" w:leftChars="0" w:hanging="425" w:firstLineChars="0"/>
        <w:rPr>
          <w:rFonts w:hint="default"/>
        </w:rPr>
      </w:pPr>
      <w:r>
        <w:rPr>
          <w:rFonts w:hint="default"/>
        </w:rPr>
        <w:t>强化服务事件的精细化统计与深度分析：加强对各运维对象事件与性能状况的系统化统计，注重对统计数据的多维度分析与解读，并基于分析结果提出明确改进建议，应避免简单罗列数据的流水账式记录，突出报告的分析性与决策支持价值；</w:t>
      </w:r>
    </w:p>
    <w:p w14:paraId="3EE6A98D">
      <w:pPr>
        <w:pStyle w:val="29"/>
        <w:numPr>
          <w:ilvl w:val="0"/>
          <w:numId w:val="7"/>
        </w:numPr>
        <w:bidi w:val="0"/>
        <w:ind w:left="425" w:leftChars="0" w:hanging="425" w:firstLineChars="0"/>
        <w:rPr>
          <w:rFonts w:hint="default"/>
        </w:rPr>
      </w:pPr>
      <w:r>
        <w:rPr>
          <w:rFonts w:hint="default"/>
        </w:rPr>
        <w:t>增加项目运行状况的综合总结：在每月服务报告末章增设项目运行整体综述，系统梳理当月运维基本情况，重点归纳典型问题与风险隐患，并对该月项目运行状态做出结论性评价，旨在为项目管理与客户决策提供清晰、结论性的参考依据。</w:t>
      </w:r>
    </w:p>
    <w:p w14:paraId="62526BA3">
      <w:pPr>
        <w:pStyle w:val="31"/>
        <w:bidi w:val="0"/>
        <w:rPr>
          <w:rFonts w:hint="eastAsia"/>
          <w:lang w:val="en-US" w:eastAsia="zh-CN"/>
        </w:rPr>
      </w:pPr>
      <w:bookmarkStart w:id="32" w:name="_Toc16454"/>
      <w:r>
        <w:rPr>
          <w:rFonts w:hint="eastAsia"/>
          <w:lang w:val="en-US" w:eastAsia="zh-CN"/>
        </w:rPr>
        <w:t>事件管理</w:t>
      </w:r>
      <w:bookmarkEnd w:id="32"/>
    </w:p>
    <w:p w14:paraId="15F347DF">
      <w:pPr>
        <w:pStyle w:val="29"/>
        <w:bidi w:val="0"/>
      </w:pPr>
      <w:r>
        <w:rPr>
          <w:rFonts w:hint="default"/>
        </w:rPr>
        <w:t>2025年，事件管理工作将重点围绕以下两方面进行深化与优化：</w:t>
      </w:r>
    </w:p>
    <w:p w14:paraId="640E9477">
      <w:pPr>
        <w:pStyle w:val="29"/>
        <w:numPr>
          <w:ilvl w:val="0"/>
          <w:numId w:val="8"/>
        </w:numPr>
        <w:bidi w:val="0"/>
        <w:ind w:left="425" w:leftChars="0" w:hanging="425" w:firstLineChars="0"/>
        <w:rPr>
          <w:rFonts w:hint="default"/>
        </w:rPr>
      </w:pPr>
      <w:r>
        <w:rPr>
          <w:rFonts w:hint="default"/>
        </w:rPr>
        <w:t>加强事件记录的深度分析与价值挖掘：对事件记录开展多维度、体系化的分析，深入识别事件背后的根本原因、影响范围和发生规律，为服务改进、资源规划及经营管理决策提供更加全面和精准的数据支持；</w:t>
      </w:r>
    </w:p>
    <w:p w14:paraId="7CE83BDD">
      <w:pPr>
        <w:pStyle w:val="29"/>
        <w:numPr>
          <w:ilvl w:val="0"/>
          <w:numId w:val="8"/>
        </w:numPr>
        <w:bidi w:val="0"/>
        <w:ind w:left="425" w:leftChars="0" w:hanging="425" w:firstLineChars="0"/>
        <w:rPr>
          <w:rFonts w:hint="default"/>
        </w:rPr>
      </w:pPr>
      <w:r>
        <w:rPr>
          <w:rFonts w:hint="default"/>
        </w:rPr>
        <w:t>优化事件分类机制：对现有事件单分类模式进行系统性改进，建立更灵活、更精细的多维度分类体系，提升事件统计与分析的可定制性和可扩展性，以满足不同层面的管理洞察与报表需求。</w:t>
      </w:r>
    </w:p>
    <w:p w14:paraId="79772CB5">
      <w:pPr>
        <w:pStyle w:val="31"/>
        <w:bidi w:val="0"/>
        <w:rPr>
          <w:rFonts w:hint="eastAsia"/>
          <w:lang w:val="en-US" w:eastAsia="zh-CN"/>
        </w:rPr>
      </w:pPr>
      <w:bookmarkStart w:id="33" w:name="_Toc10113"/>
      <w:r>
        <w:rPr>
          <w:rFonts w:hint="eastAsia"/>
          <w:lang w:val="en-US" w:eastAsia="zh-CN"/>
        </w:rPr>
        <w:t>问题管理</w:t>
      </w:r>
      <w:bookmarkEnd w:id="33"/>
    </w:p>
    <w:p w14:paraId="5D1920F2">
      <w:pPr>
        <w:pStyle w:val="29"/>
        <w:numPr>
          <w:ilvl w:val="0"/>
          <w:numId w:val="9"/>
        </w:numPr>
        <w:bidi w:val="0"/>
        <w:ind w:left="425" w:leftChars="0" w:hanging="425" w:firstLineChars="0"/>
      </w:pPr>
      <w:r>
        <w:rPr>
          <w:rFonts w:hint="default"/>
        </w:rPr>
        <w:t>强化流程间协同机制：重点加强问题管理流程与事件管理、服务级别管理（SLA）等流程的有效互动与信息共享，建立常态化联动机制，确保重大事件可及时转化为问题记录，并通过根本原因分析推动服务改进，从而全面提升问题管理在风险预防与决策支持中的价值赋能。</w:t>
      </w:r>
    </w:p>
    <w:p w14:paraId="32C310D3">
      <w:pPr>
        <w:pStyle w:val="29"/>
        <w:numPr>
          <w:ilvl w:val="0"/>
          <w:numId w:val="9"/>
        </w:numPr>
        <w:bidi w:val="0"/>
        <w:ind w:left="425" w:leftChars="0" w:hanging="425" w:firstLineChars="0"/>
        <w:rPr>
          <w:rFonts w:hint="default"/>
        </w:rPr>
      </w:pPr>
      <w:r>
        <w:rPr>
          <w:rFonts w:hint="default"/>
        </w:rPr>
        <w:t>推动问题管理流程持续改进：系统梳理并分析各项目组在问题流程实践中存在的差异与短板，针对流程依从性、分类一致性、解决时效性等关键环节进行持续优化，建立闭环改进机制，提升问题管理的整体成熟度和运行效率。</w:t>
      </w:r>
    </w:p>
    <w:p w14:paraId="102F593D">
      <w:pPr>
        <w:pStyle w:val="31"/>
        <w:bidi w:val="0"/>
        <w:rPr>
          <w:rFonts w:hint="eastAsia"/>
          <w:lang w:val="en-US" w:eastAsia="zh-CN"/>
        </w:rPr>
      </w:pPr>
      <w:bookmarkStart w:id="34" w:name="_Toc20441"/>
      <w:r>
        <w:rPr>
          <w:rFonts w:hint="eastAsia"/>
          <w:lang w:val="en-US" w:eastAsia="zh-CN"/>
        </w:rPr>
        <w:t>变更管理</w:t>
      </w:r>
      <w:bookmarkEnd w:id="34"/>
    </w:p>
    <w:p w14:paraId="5312FC82">
      <w:pPr>
        <w:pStyle w:val="29"/>
        <w:bidi w:val="0"/>
        <w:rPr>
          <w:rFonts w:hint="eastAsia"/>
          <w:lang w:val="en-US" w:eastAsia="zh-CN"/>
        </w:rPr>
      </w:pPr>
      <w:r>
        <w:rPr>
          <w:rFonts w:hint="eastAsia"/>
          <w:lang w:val="en-US" w:eastAsia="zh-CN"/>
        </w:rPr>
        <w:t>2025年，变更管理工作将重点提升变更过程的规范性与安全性，核心任务如下：</w:t>
      </w:r>
    </w:p>
    <w:p w14:paraId="29D23DA7">
      <w:pPr>
        <w:pStyle w:val="29"/>
        <w:numPr>
          <w:ilvl w:val="0"/>
          <w:numId w:val="10"/>
        </w:numPr>
        <w:bidi w:val="0"/>
        <w:ind w:left="425" w:leftChars="0" w:hanging="425" w:firstLineChars="0"/>
        <w:rPr>
          <w:rFonts w:hint="eastAsia"/>
          <w:lang w:val="en-US" w:eastAsia="zh-CN"/>
        </w:rPr>
      </w:pPr>
      <w:r>
        <w:rPr>
          <w:rFonts w:hint="eastAsia"/>
          <w:lang w:val="en-US" w:eastAsia="zh-CN"/>
        </w:rPr>
        <w:t>强化变更记录的完整性与准确性：严格落实变更文档的标准化管理，确保每次变更均完整记录变更原因、实施方案、测试结果及回退计划等关键要素，为审计与复盘提供可靠依据。</w:t>
      </w:r>
    </w:p>
    <w:p w14:paraId="5195920E">
      <w:pPr>
        <w:pStyle w:val="29"/>
        <w:numPr>
          <w:ilvl w:val="0"/>
          <w:numId w:val="10"/>
        </w:numPr>
        <w:bidi w:val="0"/>
        <w:ind w:left="425" w:leftChars="0" w:hanging="425" w:firstLineChars="0"/>
        <w:rPr>
          <w:rFonts w:hint="eastAsia"/>
          <w:lang w:val="en-US" w:eastAsia="zh-CN"/>
        </w:rPr>
      </w:pPr>
      <w:r>
        <w:rPr>
          <w:rFonts w:hint="eastAsia"/>
          <w:lang w:val="en-US" w:eastAsia="zh-CN"/>
        </w:rPr>
        <w:t>加强变更过程可控性与回退计划监督：建立变更回退计划的专项质量审查机制，将其作为变更审批的前置必要条件，杜绝因回退计划缺失或不可行导致的运维风险，切实保障变更失败后系统可快速恢复至稳定状态。</w:t>
      </w:r>
    </w:p>
    <w:p w14:paraId="0FEECFBA">
      <w:pPr>
        <w:pStyle w:val="31"/>
        <w:bidi w:val="0"/>
        <w:rPr>
          <w:rFonts w:hint="eastAsia"/>
          <w:lang w:val="en-US" w:eastAsia="zh-CN"/>
        </w:rPr>
      </w:pPr>
      <w:bookmarkStart w:id="35" w:name="_Toc16778"/>
      <w:r>
        <w:rPr>
          <w:rFonts w:hint="eastAsia"/>
          <w:lang w:val="en-US" w:eastAsia="zh-CN"/>
        </w:rPr>
        <w:t>发布管理</w:t>
      </w:r>
      <w:bookmarkEnd w:id="35"/>
    </w:p>
    <w:p w14:paraId="22440E04">
      <w:pPr>
        <w:pStyle w:val="29"/>
        <w:bidi w:val="0"/>
      </w:pPr>
      <w:r>
        <w:t>2025年，发布管理工作将重点强化实施方案的质量管控，确保发布过程的可靠性与稳定性。核心举措包括建立发布方案标准化评审机制，对实施方案的清晰性、可操作性和回退可行性进行严格审查，杜绝因方案描述含糊、步骤缺失或权责不清导致的发布失败或业务风险。通过细化方案模板、明确关键检查项及推行质量门禁，全面提升发布实施的可预测性与一次成功率。</w:t>
      </w:r>
    </w:p>
    <w:p w14:paraId="0B4208FE">
      <w:pPr>
        <w:pStyle w:val="31"/>
        <w:bidi w:val="0"/>
        <w:rPr>
          <w:rFonts w:hint="eastAsia"/>
          <w:lang w:val="en-US" w:eastAsia="zh-CN"/>
        </w:rPr>
      </w:pPr>
      <w:bookmarkStart w:id="36" w:name="_Toc506"/>
      <w:r>
        <w:rPr>
          <w:rFonts w:hint="eastAsia"/>
          <w:lang w:val="en-US" w:eastAsia="zh-CN"/>
        </w:rPr>
        <w:t>配置管理</w:t>
      </w:r>
      <w:bookmarkEnd w:id="36"/>
    </w:p>
    <w:p w14:paraId="23636A08">
      <w:pPr>
        <w:pStyle w:val="29"/>
        <w:bidi w:val="0"/>
        <w:rPr>
          <w:rFonts w:hint="eastAsia"/>
          <w:lang w:val="en-US" w:eastAsia="zh-CN"/>
        </w:rPr>
      </w:pPr>
      <w:r>
        <w:rPr>
          <w:rFonts w:hint="eastAsia"/>
          <w:lang w:val="en-US" w:eastAsia="zh-CN"/>
        </w:rPr>
        <w:t>2025年，配置管理工作将重点围绕配置数据库（CMDB）的准确性与有效性开展系统化提升，核心工作方向如下：</w:t>
      </w:r>
    </w:p>
    <w:p w14:paraId="3DA3257B">
      <w:pPr>
        <w:pStyle w:val="29"/>
        <w:numPr>
          <w:ilvl w:val="0"/>
          <w:numId w:val="11"/>
        </w:numPr>
        <w:bidi w:val="0"/>
        <w:ind w:left="425" w:leftChars="0" w:hanging="425" w:firstLineChars="0"/>
        <w:rPr>
          <w:rFonts w:hint="eastAsia"/>
          <w:lang w:val="en-US" w:eastAsia="zh-CN"/>
        </w:rPr>
      </w:pPr>
      <w:r>
        <w:rPr>
          <w:rFonts w:hint="eastAsia"/>
          <w:lang w:val="en-US" w:eastAsia="zh-CN"/>
        </w:rPr>
        <w:t>优化配置库结构设计与标准化：针对部分项目组配置库结构设计不合理、配置项属性缺失或无法填写的问题，将制定并推行统一的配置模型设计规范与属性定义标准，加强建库前期的技术指导与审核，确保配置项信息完整、结构清晰、可维护性强。</w:t>
      </w:r>
    </w:p>
    <w:p w14:paraId="0954CE73">
      <w:pPr>
        <w:pStyle w:val="29"/>
        <w:numPr>
          <w:ilvl w:val="0"/>
          <w:numId w:val="11"/>
        </w:numPr>
        <w:bidi w:val="0"/>
        <w:ind w:left="425" w:leftChars="0" w:hanging="425" w:firstLineChars="0"/>
        <w:rPr>
          <w:rFonts w:hint="eastAsia"/>
          <w:lang w:val="en-US" w:eastAsia="zh-CN"/>
        </w:rPr>
      </w:pPr>
      <w:r>
        <w:rPr>
          <w:rFonts w:hint="eastAsia"/>
          <w:lang w:val="en-US" w:eastAsia="zh-CN"/>
        </w:rPr>
        <w:t>提升配置信息及时性与账实一致性：建立配置信息更新闭环管理机制，强化与变更、发布等流程的联动，确保配置项信息随实际环境变化实时同步。同时，引入自动化发现工具辅助人工维护，并开展定期与专项审计，重点排查和整改“账实不符”问题，逐步提升配置数据准确率。</w:t>
      </w:r>
    </w:p>
    <w:p w14:paraId="3A6FB32D">
      <w:pPr>
        <w:pStyle w:val="31"/>
        <w:bidi w:val="0"/>
        <w:rPr>
          <w:rFonts w:hint="eastAsia"/>
          <w:lang w:val="en-US" w:eastAsia="zh-CN"/>
        </w:rPr>
      </w:pPr>
      <w:bookmarkStart w:id="37" w:name="_Toc16146"/>
      <w:r>
        <w:rPr>
          <w:rFonts w:hint="eastAsia"/>
          <w:lang w:val="en-US" w:eastAsia="zh-CN"/>
        </w:rPr>
        <w:t>服务可用性和连续性管理</w:t>
      </w:r>
      <w:bookmarkEnd w:id="37"/>
    </w:p>
    <w:p w14:paraId="75D58B2B">
      <w:pPr>
        <w:pStyle w:val="29"/>
        <w:bidi w:val="0"/>
        <w:rPr>
          <w:rFonts w:hint="eastAsia"/>
        </w:rPr>
      </w:pPr>
      <w:r>
        <w:rPr>
          <w:rFonts w:hint="eastAsia"/>
        </w:rPr>
        <w:t>2025年，服务可用性与连续性管理工作将围绕提升系统可靠性与应急响应能力重点展开，核心目标与措施如下：</w:t>
      </w:r>
    </w:p>
    <w:p w14:paraId="1DCF9827">
      <w:pPr>
        <w:pStyle w:val="29"/>
        <w:numPr>
          <w:ilvl w:val="0"/>
          <w:numId w:val="12"/>
        </w:numPr>
        <w:bidi w:val="0"/>
        <w:ind w:left="425" w:leftChars="0" w:hanging="425" w:firstLineChars="0"/>
        <w:rPr>
          <w:rFonts w:hint="eastAsia"/>
        </w:rPr>
      </w:pPr>
      <w:r>
        <w:rPr>
          <w:rFonts w:hint="eastAsia"/>
        </w:rPr>
        <w:t>强化系统监控与高可用保障：完善常态化监控预警机制，明确当系统可用率低于99.9%时，须立即触发根本原因分析及整改流程，形成事件-问题-改进的闭环管理，持续提升服务可用性水平。</w:t>
      </w:r>
    </w:p>
    <w:p w14:paraId="24AC175B">
      <w:pPr>
        <w:pStyle w:val="29"/>
        <w:numPr>
          <w:ilvl w:val="0"/>
          <w:numId w:val="12"/>
        </w:numPr>
        <w:bidi w:val="0"/>
        <w:ind w:left="425" w:leftChars="0" w:hanging="425" w:firstLineChars="0"/>
        <w:rPr>
          <w:rFonts w:hint="eastAsia"/>
        </w:rPr>
      </w:pPr>
      <w:r>
        <w:rPr>
          <w:rFonts w:hint="eastAsia"/>
        </w:rPr>
        <w:t>优化用户端故障反馈机制：统一并完善多个故障反馈入口（如在线表单、服务台热线、监控集成告警等），简化上报流程，加强页面和路由提示，确保用户可快速、便捷地提交故障信息，减少上报障碍。</w:t>
      </w:r>
    </w:p>
    <w:p w14:paraId="3F986DCE">
      <w:pPr>
        <w:pStyle w:val="29"/>
        <w:rPr>
          <w:rFonts w:hint="eastAsia"/>
          <w:lang w:val="en-US" w:eastAsia="zh-CN"/>
        </w:rPr>
      </w:pPr>
      <w:r>
        <w:rPr>
          <w:rFonts w:hint="eastAsia"/>
        </w:rPr>
        <w:t>建立专业7×24小时故障响应团队：组建专职轮岗保障团队，明确值班职责与升级机制，配备完备的应急工具与</w:t>
      </w:r>
      <w:r>
        <w:rPr>
          <w:rFonts w:hint="eastAsia"/>
          <w:lang w:val="en-US" w:eastAsia="zh-CN"/>
        </w:rPr>
        <w:t>服务知识</w:t>
      </w:r>
      <w:r>
        <w:rPr>
          <w:rFonts w:hint="eastAsia"/>
        </w:rPr>
        <w:t>，实现全天候故障快速响应与协同处置，最大限度减少业务中断时长。</w:t>
      </w:r>
    </w:p>
    <w:p w14:paraId="7E9B5E50">
      <w:pPr>
        <w:pStyle w:val="31"/>
        <w:bidi w:val="0"/>
        <w:rPr>
          <w:rFonts w:hint="eastAsia"/>
          <w:lang w:val="en-US" w:eastAsia="zh-CN"/>
        </w:rPr>
      </w:pPr>
      <w:bookmarkStart w:id="38" w:name="_Toc4035"/>
      <w:r>
        <w:rPr>
          <w:rFonts w:hint="eastAsia"/>
          <w:lang w:val="en-US" w:eastAsia="zh-CN"/>
        </w:rPr>
        <w:t>容量管理</w:t>
      </w:r>
      <w:bookmarkEnd w:id="38"/>
    </w:p>
    <w:p w14:paraId="5A1D75F9">
      <w:pPr>
        <w:pStyle w:val="29"/>
        <w:bidi w:val="0"/>
        <w:rPr>
          <w:rFonts w:hint="eastAsia"/>
          <w:lang w:val="en-US" w:eastAsia="zh-CN"/>
        </w:rPr>
      </w:pPr>
      <w:r>
        <w:rPr>
          <w:rFonts w:hint="eastAsia"/>
          <w:lang w:val="en-US" w:eastAsia="zh-CN"/>
        </w:rPr>
        <w:t>2025年，系统容量管理工作将重点构建以事件驱动、数据为基的持续优化机制，具体计划如下：</w:t>
      </w:r>
    </w:p>
    <w:p w14:paraId="3BB361CF">
      <w:pPr>
        <w:pStyle w:val="29"/>
        <w:numPr>
          <w:ilvl w:val="0"/>
          <w:numId w:val="13"/>
        </w:numPr>
        <w:ind w:left="425" w:leftChars="0" w:hanging="425" w:firstLineChars="0"/>
        <w:rPr>
          <w:rFonts w:hint="eastAsia"/>
          <w:lang w:val="en-US" w:eastAsia="zh-CN"/>
        </w:rPr>
      </w:pPr>
      <w:r>
        <w:rPr>
          <w:rFonts w:hint="eastAsia"/>
          <w:lang w:val="en-US" w:eastAsia="zh-CN"/>
        </w:rPr>
        <w:t>深化容量事件分析溯源：对所有因容量不足或规划不合理引发的事件进行完整记录与深度分析，详细涵盖事件根本原因、业务影响范围及所采取的应急与根本解决措施，形成结构化分析案例库，为容量规划提供数据支撑。</w:t>
      </w:r>
    </w:p>
    <w:p w14:paraId="6BAE45F4">
      <w:pPr>
        <w:pStyle w:val="29"/>
        <w:numPr>
          <w:ilvl w:val="0"/>
          <w:numId w:val="13"/>
        </w:numPr>
        <w:ind w:left="425" w:leftChars="0" w:hanging="425" w:firstLineChars="0"/>
        <w:rPr>
          <w:rFonts w:hint="eastAsia"/>
          <w:lang w:val="en-US" w:eastAsia="zh-CN"/>
        </w:rPr>
      </w:pPr>
      <w:r>
        <w:rPr>
          <w:rFonts w:hint="eastAsia"/>
          <w:lang w:val="en-US" w:eastAsia="zh-CN"/>
        </w:rPr>
        <w:t>建立季度容量复盘与策略优化机制：每季度组织召开容量管理专题分析会，系统性总结阶段内容量相关事件的经验教训，评估当前容量管理策略与流程的有效性，并基于业务趋势与数据洞察持续优化容量预测模型和管理流程。</w:t>
      </w:r>
    </w:p>
    <w:p w14:paraId="6A934995">
      <w:pPr>
        <w:pStyle w:val="31"/>
        <w:bidi w:val="0"/>
        <w:rPr>
          <w:rFonts w:hint="default"/>
          <w:lang w:val="en-US" w:eastAsia="zh-CN"/>
        </w:rPr>
      </w:pPr>
      <w:bookmarkStart w:id="39" w:name="_Toc15408"/>
      <w:r>
        <w:rPr>
          <w:rFonts w:hint="eastAsia"/>
          <w:lang w:val="en-US" w:eastAsia="zh-CN"/>
        </w:rPr>
        <w:t>信息安全管理</w:t>
      </w:r>
      <w:bookmarkEnd w:id="39"/>
    </w:p>
    <w:p w14:paraId="0AEFE791">
      <w:pPr>
        <w:pStyle w:val="29"/>
        <w:rPr>
          <w:rFonts w:hint="default"/>
          <w:lang w:val="en-US" w:eastAsia="zh-CN"/>
        </w:rPr>
      </w:pPr>
      <w:r>
        <w:rPr>
          <w:rFonts w:hint="default"/>
          <w:lang w:val="en-US" w:eastAsia="zh-CN"/>
        </w:rPr>
        <w:t>2025年，信息安全管理工作的开展将聚焦于人员能力与制度遵从两大核心领域，具体计划如下：</w:t>
      </w:r>
    </w:p>
    <w:p w14:paraId="1A7EE82A">
      <w:pPr>
        <w:pStyle w:val="29"/>
        <w:numPr>
          <w:ilvl w:val="0"/>
          <w:numId w:val="14"/>
        </w:numPr>
        <w:ind w:left="425" w:leftChars="0" w:hanging="425" w:firstLineChars="0"/>
        <w:rPr>
          <w:rFonts w:hint="default"/>
          <w:lang w:val="en-US" w:eastAsia="zh-CN"/>
        </w:rPr>
      </w:pPr>
      <w:r>
        <w:rPr>
          <w:rFonts w:hint="default"/>
          <w:lang w:val="en-US" w:eastAsia="zh-CN"/>
        </w:rPr>
        <w:t>深化信息安全工具技能培训：在</w:t>
      </w:r>
      <w:r>
        <w:rPr>
          <w:rFonts w:hint="eastAsia"/>
          <w:lang w:val="en-US" w:eastAsia="zh-CN"/>
        </w:rPr>
        <w:t>运维部</w:t>
      </w:r>
      <w:r>
        <w:rPr>
          <w:rFonts w:hint="default"/>
          <w:lang w:val="en-US" w:eastAsia="zh-CN"/>
        </w:rPr>
        <w:t>内部深入开展信息安全防护工具的专项培训，重点提升人员对安全工具的操作熟练度与实战应用能力，强化整体信息安全防控水平，最大限度杜绝因技能不足导致的低级安全事件。</w:t>
      </w:r>
    </w:p>
    <w:p w14:paraId="2D442C9C">
      <w:pPr>
        <w:pStyle w:val="29"/>
        <w:numPr>
          <w:ilvl w:val="0"/>
          <w:numId w:val="14"/>
        </w:numPr>
        <w:ind w:left="425" w:leftChars="0" w:hanging="425" w:firstLineChars="0"/>
        <w:rPr>
          <w:rFonts w:hint="default"/>
          <w:lang w:val="en-US" w:eastAsia="zh-CN"/>
        </w:rPr>
      </w:pPr>
      <w:r>
        <w:rPr>
          <w:rFonts w:hint="default"/>
          <w:lang w:val="en-US" w:eastAsia="zh-CN"/>
        </w:rPr>
        <w:t>强化安全法规与制度宣贯执行：针对新颁布的信息安全相关法律法规及公司内部制度，及时组织专项培训与考核，确保全员清晰理解并严格遵循现行安全要求，持续提高合规意识和风险防范能力。</w:t>
      </w:r>
    </w:p>
    <w:p w14:paraId="2F65F305">
      <w:pPr>
        <w:pStyle w:val="30"/>
        <w:bidi w:val="0"/>
        <w:rPr>
          <w:rFonts w:hint="eastAsia"/>
          <w:lang w:val="en-US" w:eastAsia="zh-CN"/>
        </w:rPr>
      </w:pPr>
      <w:bookmarkStart w:id="40" w:name="_Toc30747"/>
      <w:r>
        <w:rPr>
          <w:rFonts w:hint="eastAsia"/>
          <w:lang w:val="en-US" w:eastAsia="zh-CN"/>
        </w:rPr>
        <w:t>交付</w:t>
      </w:r>
      <w:bookmarkEnd w:id="40"/>
    </w:p>
    <w:p w14:paraId="6FE6A645">
      <w:pPr>
        <w:pStyle w:val="29"/>
        <w:bidi w:val="0"/>
      </w:pPr>
      <w:r>
        <w:rPr>
          <w:rFonts w:hint="default"/>
        </w:rPr>
        <w:t>公司已依据GB/T 28827.2-2012《信息技术服务 运行维护 第2部分：交付规范》建立并发布</w:t>
      </w:r>
      <w:r>
        <w:rPr>
          <w:rFonts w:hint="eastAsia"/>
          <w:lang w:eastAsia="zh-CN"/>
        </w:rPr>
        <w:t>《</w:t>
      </w:r>
      <w:r>
        <w:rPr>
          <w:rFonts w:hint="default"/>
        </w:rPr>
        <w:t>交付管理制度</w:t>
      </w:r>
      <w:r>
        <w:rPr>
          <w:rFonts w:hint="eastAsia"/>
          <w:lang w:eastAsia="zh-CN"/>
        </w:rPr>
        <w:t>》</w:t>
      </w:r>
      <w:r>
        <w:rPr>
          <w:rFonts w:hint="default"/>
        </w:rPr>
        <w:t>，明确涵盖交付策划、实施、检查与改进等环节要求。本周期内须严格依照制度加强对交付过程的全方位管控，通过建立有效的管理机制，系统性提升公司整体服务交付能力，确保达成SLA中规定的例行操作、响应支持、优化改善及调研评估等各类服务目标。</w:t>
      </w:r>
    </w:p>
    <w:p w14:paraId="1A4C128B">
      <w:pPr>
        <w:pStyle w:val="29"/>
        <w:bidi w:val="0"/>
        <w:rPr>
          <w:rFonts w:hint="default"/>
        </w:rPr>
      </w:pPr>
      <w:r>
        <w:rPr>
          <w:rFonts w:hint="default"/>
        </w:rPr>
        <w:t>2025年将重点推进该制度的优化工作，基于现行交付管理制度及SLA要求，深入分析客户需求，科学制定与客户期望和项目特点相匹配的交付方案。</w:t>
      </w:r>
    </w:p>
    <w:p w14:paraId="3795126C">
      <w:pPr>
        <w:pStyle w:val="30"/>
        <w:bidi w:val="0"/>
        <w:rPr>
          <w:rFonts w:hint="eastAsia"/>
          <w:lang w:val="en-US" w:eastAsia="zh-CN"/>
        </w:rPr>
      </w:pPr>
      <w:bookmarkStart w:id="41" w:name="_Toc27316"/>
      <w:r>
        <w:rPr>
          <w:rFonts w:hint="eastAsia"/>
          <w:lang w:val="en-US" w:eastAsia="zh-CN"/>
        </w:rPr>
        <w:t>应急</w:t>
      </w:r>
      <w:bookmarkEnd w:id="41"/>
    </w:p>
    <w:p w14:paraId="220C5993">
      <w:pPr>
        <w:pStyle w:val="29"/>
        <w:bidi w:val="0"/>
        <w:rPr>
          <w:rFonts w:hint="eastAsia"/>
          <w:lang w:val="en-US" w:eastAsia="zh-CN"/>
        </w:rPr>
      </w:pPr>
      <w:r>
        <w:t>公司已按GB/T 28827.3-2012《信息技术服务 运行维护 第3部分：应急响应规范》制订并发布</w:t>
      </w:r>
      <w:r>
        <w:rPr>
          <w:rFonts w:hint="eastAsia"/>
          <w:lang w:eastAsia="zh-CN"/>
        </w:rPr>
        <w:t>《</w:t>
      </w:r>
      <w:r>
        <w:rPr>
          <w:rFonts w:hint="eastAsia"/>
          <w:lang w:val="en-US" w:eastAsia="zh-CN"/>
        </w:rPr>
        <w:t>组织级应急管理制度</w:t>
      </w:r>
      <w:bookmarkStart w:id="50" w:name="_GoBack"/>
      <w:bookmarkEnd w:id="50"/>
      <w:r>
        <w:rPr>
          <w:rFonts w:hint="eastAsia"/>
          <w:lang w:eastAsia="zh-CN"/>
        </w:rPr>
        <w:t>》</w:t>
      </w:r>
      <w:r>
        <w:t>。2025年须严格按制度要求组建与业务类型及项目特性相适应的应急响应团队，针对不同风险场景编制完善的应急预案，定期组织应急演练并详细记录演练过程与结果，持续验证应急响应机制、团队协作与预案的有效性，确保在突发情况下能够迅速、有效应对。</w:t>
      </w:r>
    </w:p>
    <w:p w14:paraId="1D72791E">
      <w:pPr>
        <w:pStyle w:val="30"/>
        <w:bidi w:val="0"/>
        <w:rPr>
          <w:rFonts w:hint="default"/>
          <w:lang w:val="en-US" w:eastAsia="zh-CN"/>
        </w:rPr>
      </w:pPr>
      <w:bookmarkStart w:id="42" w:name="_Toc8714"/>
      <w:r>
        <w:rPr>
          <w:rFonts w:hint="eastAsia"/>
          <w:lang w:val="en-US" w:eastAsia="zh-CN"/>
        </w:rPr>
        <w:t>质量</w:t>
      </w:r>
      <w:bookmarkEnd w:id="42"/>
    </w:p>
    <w:p w14:paraId="333904E3">
      <w:pPr>
        <w:pStyle w:val="31"/>
        <w:bidi w:val="0"/>
        <w:rPr>
          <w:rFonts w:hint="eastAsia"/>
          <w:lang w:val="en-US" w:eastAsia="zh-CN"/>
        </w:rPr>
      </w:pPr>
      <w:bookmarkStart w:id="43" w:name="_Toc2074"/>
      <w:r>
        <w:rPr>
          <w:rFonts w:hint="eastAsia"/>
          <w:lang w:val="en-US" w:eastAsia="zh-CN"/>
        </w:rPr>
        <w:t>运维服务质量内部评审</w:t>
      </w:r>
      <w:bookmarkEnd w:id="43"/>
    </w:p>
    <w:p w14:paraId="148BAA04">
      <w:pPr>
        <w:spacing w:before="79" w:line="360" w:lineRule="auto"/>
        <w:ind w:left="29" w:right="39" w:firstLine="486"/>
        <w:rPr>
          <w:rFonts w:ascii="宋体" w:hAnsi="宋体" w:eastAsia="宋体" w:cs="宋体"/>
          <w:sz w:val="24"/>
          <w:szCs w:val="24"/>
        </w:rPr>
      </w:pPr>
      <w:r>
        <w:rPr>
          <w:rFonts w:ascii="宋体" w:hAnsi="宋体" w:eastAsia="宋体" w:cs="宋体"/>
          <w:spacing w:val="-2"/>
          <w:sz w:val="24"/>
          <w:szCs w:val="24"/>
        </w:rPr>
        <w:t>审核运维服务活动及其结果是否符合策划的安排，确保ITSS</w:t>
      </w:r>
      <w:r>
        <w:rPr>
          <w:rFonts w:ascii="宋体" w:hAnsi="宋体" w:eastAsia="宋体" w:cs="宋体"/>
          <w:spacing w:val="-51"/>
          <w:sz w:val="24"/>
          <w:szCs w:val="24"/>
        </w:rPr>
        <w:t xml:space="preserve"> </w:t>
      </w:r>
      <w:r>
        <w:rPr>
          <w:rFonts w:ascii="宋体" w:hAnsi="宋体" w:eastAsia="宋体" w:cs="宋体"/>
          <w:spacing w:val="-2"/>
          <w:sz w:val="24"/>
          <w:szCs w:val="24"/>
        </w:rPr>
        <w:t>运维服务能力管理体系的有效性。</w:t>
      </w:r>
    </w:p>
    <w:p w14:paraId="2546F6E6">
      <w:pPr>
        <w:spacing w:line="219" w:lineRule="auto"/>
        <w:ind w:left="503"/>
        <w:rPr>
          <w:rFonts w:ascii="宋体" w:hAnsi="宋体" w:eastAsia="宋体" w:cs="宋体"/>
          <w:sz w:val="24"/>
          <w:szCs w:val="24"/>
        </w:rPr>
      </w:pPr>
      <w:r>
        <w:rPr>
          <w:rFonts w:ascii="宋体" w:hAnsi="宋体" w:eastAsia="宋体" w:cs="宋体"/>
          <w:spacing w:val="-1"/>
          <w:sz w:val="24"/>
          <w:szCs w:val="24"/>
        </w:rPr>
        <w:t>运维服务能力内审由</w:t>
      </w:r>
      <w:r>
        <w:rPr>
          <w:rFonts w:hint="eastAsia" w:ascii="宋体" w:hAnsi="宋体" w:cs="宋体"/>
          <w:spacing w:val="-1"/>
          <w:sz w:val="24"/>
          <w:szCs w:val="24"/>
          <w:lang w:val="en-US" w:eastAsia="zh-CN"/>
        </w:rPr>
        <w:t>质量部</w:t>
      </w:r>
      <w:r>
        <w:rPr>
          <w:rFonts w:ascii="宋体" w:hAnsi="宋体" w:eastAsia="宋体" w:cs="宋体"/>
          <w:spacing w:val="-1"/>
          <w:sz w:val="24"/>
          <w:szCs w:val="24"/>
        </w:rPr>
        <w:t>负责组织实施。</w:t>
      </w:r>
    </w:p>
    <w:p w14:paraId="678BAC54">
      <w:pPr>
        <w:pStyle w:val="31"/>
        <w:bidi w:val="0"/>
        <w:rPr>
          <w:rFonts w:hint="eastAsia"/>
          <w:lang w:val="en-US" w:eastAsia="zh-CN"/>
        </w:rPr>
      </w:pPr>
      <w:bookmarkStart w:id="44" w:name="_Toc17765"/>
      <w:r>
        <w:rPr>
          <w:rFonts w:hint="eastAsia"/>
          <w:lang w:val="en-US" w:eastAsia="zh-CN"/>
        </w:rPr>
        <w:t>运维服务质量管理评审</w:t>
      </w:r>
      <w:bookmarkEnd w:id="44"/>
    </w:p>
    <w:p w14:paraId="6F285966">
      <w:pPr>
        <w:spacing w:before="78" w:line="360" w:lineRule="auto"/>
        <w:ind w:left="23" w:right="66" w:firstLine="485"/>
        <w:rPr>
          <w:rFonts w:ascii="宋体" w:hAnsi="宋体" w:eastAsia="宋体" w:cs="宋体"/>
          <w:sz w:val="24"/>
          <w:szCs w:val="24"/>
        </w:rPr>
      </w:pPr>
      <w:r>
        <w:rPr>
          <w:rFonts w:ascii="宋体" w:hAnsi="宋体" w:eastAsia="宋体" w:cs="宋体"/>
          <w:spacing w:val="-1"/>
          <w:sz w:val="24"/>
          <w:szCs w:val="24"/>
        </w:rPr>
        <w:t>管理评审目的是对公司</w:t>
      </w:r>
      <w:r>
        <w:rPr>
          <w:rFonts w:ascii="宋体" w:hAnsi="宋体" w:eastAsia="宋体" w:cs="宋体"/>
          <w:spacing w:val="-37"/>
          <w:sz w:val="24"/>
          <w:szCs w:val="24"/>
        </w:rPr>
        <w:t xml:space="preserve"> </w:t>
      </w:r>
      <w:r>
        <w:rPr>
          <w:rFonts w:ascii="宋体" w:hAnsi="宋体" w:eastAsia="宋体" w:cs="宋体"/>
          <w:spacing w:val="-1"/>
          <w:sz w:val="24"/>
          <w:szCs w:val="24"/>
        </w:rPr>
        <w:t>ITSS</w:t>
      </w:r>
      <w:r>
        <w:rPr>
          <w:rFonts w:ascii="宋体" w:hAnsi="宋体" w:eastAsia="宋体" w:cs="宋体"/>
          <w:spacing w:val="-51"/>
          <w:sz w:val="24"/>
          <w:szCs w:val="24"/>
        </w:rPr>
        <w:t xml:space="preserve"> </w:t>
      </w:r>
      <w:r>
        <w:rPr>
          <w:rFonts w:ascii="宋体" w:hAnsi="宋体" w:eastAsia="宋体" w:cs="宋体"/>
          <w:spacing w:val="-1"/>
          <w:sz w:val="24"/>
          <w:szCs w:val="24"/>
        </w:rPr>
        <w:t>运维服务能</w:t>
      </w:r>
      <w:r>
        <w:rPr>
          <w:rFonts w:ascii="宋体" w:hAnsi="宋体" w:eastAsia="宋体" w:cs="宋体"/>
          <w:spacing w:val="-2"/>
          <w:sz w:val="24"/>
          <w:szCs w:val="24"/>
        </w:rPr>
        <w:t>力管理体系进行系统评审，识别并</w:t>
      </w:r>
      <w:r>
        <w:rPr>
          <w:rFonts w:ascii="宋体" w:hAnsi="宋体" w:eastAsia="宋体" w:cs="宋体"/>
          <w:spacing w:val="-1"/>
          <w:sz w:val="24"/>
          <w:szCs w:val="24"/>
        </w:rPr>
        <w:t>确定各种改进的机会和需要，确保</w:t>
      </w:r>
      <w:r>
        <w:rPr>
          <w:rFonts w:ascii="宋体" w:hAnsi="宋体" w:eastAsia="宋体" w:cs="宋体"/>
          <w:spacing w:val="-37"/>
          <w:sz w:val="24"/>
          <w:szCs w:val="24"/>
        </w:rPr>
        <w:t xml:space="preserve"> </w:t>
      </w:r>
      <w:r>
        <w:rPr>
          <w:rFonts w:ascii="宋体" w:hAnsi="宋体" w:eastAsia="宋体" w:cs="宋体"/>
          <w:spacing w:val="-1"/>
          <w:sz w:val="24"/>
          <w:szCs w:val="24"/>
        </w:rPr>
        <w:t>ITSS</w:t>
      </w:r>
      <w:r>
        <w:rPr>
          <w:rFonts w:ascii="宋体" w:hAnsi="宋体" w:eastAsia="宋体" w:cs="宋体"/>
          <w:spacing w:val="-51"/>
          <w:sz w:val="24"/>
          <w:szCs w:val="24"/>
        </w:rPr>
        <w:t xml:space="preserve"> </w:t>
      </w:r>
      <w:r>
        <w:rPr>
          <w:rFonts w:ascii="宋体" w:hAnsi="宋体" w:eastAsia="宋体" w:cs="宋体"/>
          <w:spacing w:val="-1"/>
          <w:sz w:val="24"/>
          <w:szCs w:val="24"/>
        </w:rPr>
        <w:t>运维服务能力管理体系</w:t>
      </w:r>
      <w:r>
        <w:rPr>
          <w:rFonts w:ascii="宋体" w:hAnsi="宋体" w:eastAsia="宋体" w:cs="宋体"/>
          <w:spacing w:val="-2"/>
          <w:sz w:val="24"/>
          <w:szCs w:val="24"/>
        </w:rPr>
        <w:t>持续的适宜性、充分性和有效性。</w:t>
      </w:r>
    </w:p>
    <w:p w14:paraId="29DE5E1C">
      <w:pPr>
        <w:spacing w:line="219" w:lineRule="auto"/>
        <w:ind w:left="503"/>
        <w:rPr>
          <w:rFonts w:ascii="宋体" w:hAnsi="宋体" w:eastAsia="宋体" w:cs="宋体"/>
          <w:sz w:val="24"/>
          <w:szCs w:val="24"/>
        </w:rPr>
      </w:pPr>
      <w:r>
        <w:rPr>
          <w:rFonts w:ascii="宋体" w:hAnsi="宋体" w:eastAsia="宋体" w:cs="宋体"/>
          <w:spacing w:val="-1"/>
          <w:sz w:val="24"/>
          <w:szCs w:val="24"/>
        </w:rPr>
        <w:t>运维服务能力管理评审由</w:t>
      </w:r>
      <w:r>
        <w:rPr>
          <w:rFonts w:hint="eastAsia" w:ascii="宋体" w:hAnsi="宋体" w:cs="宋体"/>
          <w:spacing w:val="-1"/>
          <w:sz w:val="24"/>
          <w:szCs w:val="24"/>
          <w:lang w:val="en-US" w:eastAsia="zh-CN"/>
        </w:rPr>
        <w:t>总经理组织实施</w:t>
      </w:r>
      <w:r>
        <w:rPr>
          <w:rFonts w:ascii="宋体" w:hAnsi="宋体" w:eastAsia="宋体" w:cs="宋体"/>
          <w:spacing w:val="-1"/>
          <w:sz w:val="24"/>
          <w:szCs w:val="24"/>
        </w:rPr>
        <w:t>。</w:t>
      </w:r>
    </w:p>
    <w:p w14:paraId="7C0F1C3F">
      <w:pPr>
        <w:pStyle w:val="31"/>
        <w:bidi w:val="0"/>
        <w:rPr>
          <w:rFonts w:hint="default"/>
          <w:lang w:val="en-US" w:eastAsia="zh-CN"/>
        </w:rPr>
      </w:pPr>
      <w:bookmarkStart w:id="45" w:name="_Toc17406"/>
      <w:r>
        <w:rPr>
          <w:rFonts w:hint="eastAsia"/>
          <w:lang w:val="en-US" w:eastAsia="zh-CN"/>
        </w:rPr>
        <w:t>客户满意度调查与分析</w:t>
      </w:r>
      <w:bookmarkEnd w:id="45"/>
    </w:p>
    <w:p w14:paraId="03A2B5EF">
      <w:pPr>
        <w:spacing w:before="79" w:line="360" w:lineRule="auto"/>
        <w:ind w:left="45" w:firstLine="457"/>
        <w:rPr>
          <w:rFonts w:ascii="宋体" w:hAnsi="宋体" w:eastAsia="宋体" w:cs="宋体"/>
          <w:sz w:val="24"/>
          <w:szCs w:val="24"/>
        </w:rPr>
      </w:pPr>
      <w:r>
        <w:rPr>
          <w:rFonts w:ascii="宋体" w:hAnsi="宋体" w:eastAsia="宋体" w:cs="宋体"/>
          <w:sz w:val="24"/>
          <w:szCs w:val="24"/>
        </w:rPr>
        <w:t>对客户反馈意见进行收集和分析（包括满意度调</w:t>
      </w:r>
      <w:r>
        <w:rPr>
          <w:rFonts w:ascii="宋体" w:hAnsi="宋体" w:eastAsia="宋体" w:cs="宋体"/>
          <w:spacing w:val="-1"/>
          <w:sz w:val="24"/>
          <w:szCs w:val="24"/>
        </w:rPr>
        <w:t>查结果和客户投诉意见</w:t>
      </w:r>
      <w:r>
        <w:rPr>
          <w:rFonts w:ascii="宋体" w:hAnsi="宋体" w:eastAsia="宋体" w:cs="宋体"/>
          <w:spacing w:val="-27"/>
          <w:sz w:val="24"/>
          <w:szCs w:val="24"/>
        </w:rPr>
        <w:t>），</w:t>
      </w:r>
      <w:r>
        <w:rPr>
          <w:rFonts w:ascii="宋体" w:hAnsi="宋体" w:eastAsia="宋体" w:cs="宋体"/>
          <w:spacing w:val="-1"/>
          <w:sz w:val="24"/>
          <w:szCs w:val="24"/>
        </w:rPr>
        <w:t>了解客户意见和需求，为改进提供依据。客户满意度调查每年开展一次。</w:t>
      </w:r>
    </w:p>
    <w:p w14:paraId="48619A87">
      <w:pPr>
        <w:spacing w:before="4" w:line="359" w:lineRule="auto"/>
        <w:ind w:left="22" w:right="42" w:firstLine="522"/>
        <w:jc w:val="both"/>
        <w:rPr>
          <w:rFonts w:ascii="宋体" w:hAnsi="宋体" w:eastAsia="宋体" w:cs="宋体"/>
          <w:sz w:val="24"/>
          <w:szCs w:val="24"/>
        </w:rPr>
      </w:pPr>
      <w:r>
        <w:rPr>
          <w:rFonts w:ascii="宋体" w:hAnsi="宋体" w:eastAsia="宋体" w:cs="宋体"/>
          <w:spacing w:val="-5"/>
          <w:sz w:val="24"/>
          <w:szCs w:val="24"/>
        </w:rPr>
        <w:t>日常工作中，通过对运维服务项目出现的客户投诉，客户部收集服务提供过</w:t>
      </w:r>
      <w:r>
        <w:rPr>
          <w:rFonts w:ascii="宋体" w:hAnsi="宋体" w:eastAsia="宋体" w:cs="宋体"/>
          <w:spacing w:val="-3"/>
          <w:sz w:val="24"/>
          <w:szCs w:val="24"/>
        </w:rPr>
        <w:t>程中存在的投诉问题，及时将问题反馈到质量部，调查不符合原因，责令相关部</w:t>
      </w:r>
      <w:r>
        <w:rPr>
          <w:rFonts w:ascii="宋体" w:hAnsi="宋体" w:eastAsia="宋体" w:cs="宋体"/>
          <w:spacing w:val="-1"/>
          <w:sz w:val="24"/>
          <w:szCs w:val="24"/>
        </w:rPr>
        <w:t>门采取纠正措施，确保客户的投诉及时解决。</w:t>
      </w:r>
    </w:p>
    <w:p w14:paraId="1BDEE9D2">
      <w:pPr>
        <w:spacing w:before="1" w:line="361" w:lineRule="auto"/>
        <w:ind w:left="29" w:right="42" w:firstLine="477"/>
        <w:rPr>
          <w:rFonts w:ascii="宋体" w:hAnsi="宋体" w:eastAsia="宋体" w:cs="宋体"/>
          <w:sz w:val="24"/>
          <w:szCs w:val="24"/>
        </w:rPr>
      </w:pPr>
      <w:r>
        <w:rPr>
          <w:rFonts w:ascii="宋体" w:hAnsi="宋体" w:eastAsia="宋体" w:cs="宋体"/>
          <w:sz w:val="24"/>
          <w:szCs w:val="24"/>
        </w:rPr>
        <w:t>2025年客户满意度平均分需达到95.5</w:t>
      </w:r>
      <w:r>
        <w:rPr>
          <w:rFonts w:ascii="宋体" w:hAnsi="宋体" w:eastAsia="宋体" w:cs="宋体"/>
          <w:spacing w:val="-48"/>
          <w:sz w:val="24"/>
          <w:szCs w:val="24"/>
        </w:rPr>
        <w:t xml:space="preserve"> </w:t>
      </w:r>
      <w:r>
        <w:rPr>
          <w:rFonts w:ascii="宋体" w:hAnsi="宋体" w:eastAsia="宋体" w:cs="宋体"/>
          <w:sz w:val="24"/>
          <w:szCs w:val="24"/>
        </w:rPr>
        <w:t>分以上。</w:t>
      </w:r>
      <w:r>
        <w:rPr>
          <w:rFonts w:ascii="宋体" w:hAnsi="宋体" w:eastAsia="宋体" w:cs="宋体"/>
          <w:spacing w:val="-1"/>
          <w:sz w:val="24"/>
          <w:szCs w:val="24"/>
        </w:rPr>
        <w:t>组织级的质量保证计划及报</w:t>
      </w:r>
      <w:r>
        <w:rPr>
          <w:rFonts w:ascii="宋体" w:hAnsi="宋体" w:eastAsia="宋体" w:cs="宋体"/>
          <w:spacing w:val="-3"/>
          <w:sz w:val="24"/>
          <w:szCs w:val="24"/>
        </w:rPr>
        <w:t>告需按时完成。</w:t>
      </w:r>
    </w:p>
    <w:p w14:paraId="668BFB08">
      <w:pPr>
        <w:pStyle w:val="28"/>
        <w:bidi w:val="0"/>
        <w:rPr>
          <w:rStyle w:val="38"/>
          <w:rFonts w:hint="default" w:eastAsia="宋体"/>
          <w:lang w:val="en-US" w:eastAsia="zh-CN"/>
        </w:rPr>
      </w:pPr>
      <w:bookmarkStart w:id="46" w:name="_Toc22005"/>
      <w:r>
        <w:rPr>
          <w:rStyle w:val="38"/>
          <w:rFonts w:hint="eastAsia" w:eastAsia="宋体"/>
          <w:lang w:val="en-US" w:eastAsia="zh-CN"/>
        </w:rPr>
        <w:t>附则</w:t>
      </w:r>
      <w:bookmarkEnd w:id="12"/>
      <w:bookmarkEnd w:id="46"/>
    </w:p>
    <w:p w14:paraId="73EC34F9">
      <w:pPr>
        <w:keepNext w:val="0"/>
        <w:keepLines w:val="0"/>
        <w:pageBreakBefore w:val="0"/>
        <w:widowControl/>
        <w:numPr>
          <w:ilvl w:val="0"/>
          <w:numId w:val="1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质量</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49A61CC4">
      <w:pPr>
        <w:keepNext w:val="0"/>
        <w:keepLines w:val="0"/>
        <w:pageBreakBefore w:val="0"/>
        <w:widowControl/>
        <w:numPr>
          <w:ilvl w:val="0"/>
          <w:numId w:val="1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6F9408EC">
      <w:pPr>
        <w:pStyle w:val="28"/>
        <w:bidi w:val="0"/>
        <w:rPr>
          <w:rFonts w:hint="default"/>
          <w:lang w:val="en-US" w:eastAsia="zh-CN"/>
        </w:rPr>
      </w:pPr>
      <w:bookmarkStart w:id="47" w:name="bookmark14"/>
      <w:bookmarkEnd w:id="47"/>
      <w:bookmarkStart w:id="48" w:name="_Toc9022"/>
      <w:r>
        <w:rPr>
          <w:rFonts w:hint="eastAsia"/>
          <w:lang w:val="en-US" w:eastAsia="zh-CN"/>
        </w:rPr>
        <w:t>附件</w:t>
      </w:r>
      <w:bookmarkEnd w:id="48"/>
    </w:p>
    <w:p w14:paraId="5076A7CD">
      <w:pPr>
        <w:pStyle w:val="29"/>
        <w:rPr>
          <w:rFonts w:hint="default"/>
          <w:lang w:val="en-US" w:eastAsia="zh-CN"/>
        </w:rPr>
      </w:pPr>
      <w:r>
        <w:rPr>
          <w:rFonts w:hint="eastAsia"/>
          <w:lang w:val="en-US" w:eastAsia="zh-CN"/>
        </w:rPr>
        <w:t>无</w:t>
      </w:r>
    </w:p>
    <w:p w14:paraId="310EBF79">
      <w:pPr>
        <w:pStyle w:val="28"/>
        <w:bidi w:val="0"/>
        <w:rPr>
          <w:rFonts w:hint="eastAsia"/>
          <w:lang w:val="en-US" w:eastAsia="zh-CN"/>
        </w:rPr>
      </w:pPr>
      <w:bookmarkStart w:id="49" w:name="_Toc27782"/>
      <w:r>
        <w:rPr>
          <w:rFonts w:hint="eastAsia"/>
          <w:lang w:val="en-US" w:eastAsia="zh-CN"/>
        </w:rPr>
        <w:t>记录</w:t>
      </w:r>
      <w:bookmarkEnd w:id="49"/>
    </w:p>
    <w:p w14:paraId="6985FB0B">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FE105">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3C6001D"/>
    <w:multiLevelType w:val="singleLevel"/>
    <w:tmpl w:val="93C6001D"/>
    <w:lvl w:ilvl="0" w:tentative="0">
      <w:start w:val="1"/>
      <w:numFmt w:val="decimal"/>
      <w:lvlText w:val="%1."/>
      <w:lvlJc w:val="left"/>
      <w:pPr>
        <w:ind w:left="425" w:hanging="425"/>
      </w:pPr>
      <w:rPr>
        <w:rFonts w:hint="default"/>
      </w:rPr>
    </w:lvl>
  </w:abstractNum>
  <w:abstractNum w:abstractNumId="2">
    <w:nsid w:val="A7C67DC1"/>
    <w:multiLevelType w:val="singleLevel"/>
    <w:tmpl w:val="A7C67DC1"/>
    <w:lvl w:ilvl="0" w:tentative="0">
      <w:start w:val="1"/>
      <w:numFmt w:val="decimal"/>
      <w:lvlText w:val="%1."/>
      <w:lvlJc w:val="left"/>
      <w:pPr>
        <w:ind w:left="425" w:hanging="425"/>
      </w:pPr>
      <w:rPr>
        <w:rFonts w:hint="default"/>
      </w:rPr>
    </w:lvl>
  </w:abstractNum>
  <w:abstractNum w:abstractNumId="3">
    <w:nsid w:val="C74AD993"/>
    <w:multiLevelType w:val="singleLevel"/>
    <w:tmpl w:val="C74AD993"/>
    <w:lvl w:ilvl="0" w:tentative="0">
      <w:start w:val="1"/>
      <w:numFmt w:val="decimal"/>
      <w:lvlText w:val="%1."/>
      <w:lvlJc w:val="left"/>
      <w:pPr>
        <w:ind w:left="425" w:hanging="425"/>
      </w:pPr>
      <w:rPr>
        <w:rFonts w:hint="default"/>
      </w:rPr>
    </w:lvl>
  </w:abstractNum>
  <w:abstractNum w:abstractNumId="4">
    <w:nsid w:val="E1447284"/>
    <w:multiLevelType w:val="singleLevel"/>
    <w:tmpl w:val="E1447284"/>
    <w:lvl w:ilvl="0" w:tentative="0">
      <w:start w:val="1"/>
      <w:numFmt w:val="decimal"/>
      <w:lvlText w:val="%1."/>
      <w:lvlJc w:val="left"/>
      <w:pPr>
        <w:ind w:left="425" w:hanging="425"/>
      </w:pPr>
      <w:rPr>
        <w:rFonts w:hint="default"/>
      </w:rPr>
    </w:lvl>
  </w:abstractNum>
  <w:abstractNum w:abstractNumId="5">
    <w:nsid w:val="E8B4277F"/>
    <w:multiLevelType w:val="singleLevel"/>
    <w:tmpl w:val="E8B4277F"/>
    <w:lvl w:ilvl="0" w:tentative="0">
      <w:start w:val="1"/>
      <w:numFmt w:val="decimal"/>
      <w:lvlText w:val="%1."/>
      <w:lvlJc w:val="left"/>
      <w:pPr>
        <w:ind w:left="425" w:hanging="425"/>
      </w:pPr>
      <w:rPr>
        <w:rFonts w:hint="default"/>
      </w:rPr>
    </w:lvl>
  </w:abstractNum>
  <w:abstractNum w:abstractNumId="6">
    <w:nsid w:val="F9539CF3"/>
    <w:multiLevelType w:val="singleLevel"/>
    <w:tmpl w:val="F9539CF3"/>
    <w:lvl w:ilvl="0" w:tentative="0">
      <w:start w:val="1"/>
      <w:numFmt w:val="decimal"/>
      <w:lvlText w:val="%1."/>
      <w:lvlJc w:val="left"/>
      <w:pPr>
        <w:ind w:left="425" w:hanging="425"/>
      </w:pPr>
      <w:rPr>
        <w:rFonts w:hint="default"/>
      </w:rPr>
    </w:lvl>
  </w:abstractNum>
  <w:abstractNum w:abstractNumId="7">
    <w:nsid w:val="23601102"/>
    <w:multiLevelType w:val="singleLevel"/>
    <w:tmpl w:val="23601102"/>
    <w:lvl w:ilvl="0" w:tentative="0">
      <w:start w:val="1"/>
      <w:numFmt w:val="decimal"/>
      <w:lvlText w:val="%1."/>
      <w:lvlJc w:val="left"/>
      <w:pPr>
        <w:ind w:left="425" w:hanging="425"/>
      </w:pPr>
      <w:rPr>
        <w:rFonts w:hint="default"/>
      </w:rPr>
    </w:lvl>
  </w:abstractNum>
  <w:abstractNum w:abstractNumId="8">
    <w:nsid w:val="334C0170"/>
    <w:multiLevelType w:val="singleLevel"/>
    <w:tmpl w:val="334C0170"/>
    <w:lvl w:ilvl="0" w:tentative="0">
      <w:start w:val="1"/>
      <w:numFmt w:val="decimal"/>
      <w:lvlText w:val="%1."/>
      <w:lvlJc w:val="left"/>
      <w:pPr>
        <w:ind w:left="425" w:hanging="425"/>
      </w:pPr>
      <w:rPr>
        <w:rFonts w:hint="default"/>
      </w:rPr>
    </w:lvl>
  </w:abstractNum>
  <w:abstractNum w:abstractNumId="9">
    <w:nsid w:val="36095BE5"/>
    <w:multiLevelType w:val="singleLevel"/>
    <w:tmpl w:val="36095BE5"/>
    <w:lvl w:ilvl="0" w:tentative="0">
      <w:start w:val="1"/>
      <w:numFmt w:val="decimal"/>
      <w:lvlText w:val="%1."/>
      <w:lvlJc w:val="left"/>
      <w:pPr>
        <w:ind w:left="425" w:hanging="425"/>
      </w:pPr>
      <w:rPr>
        <w:rFonts w:hint="default"/>
      </w:rPr>
    </w:lvl>
  </w:abstractNum>
  <w:abstractNum w:abstractNumId="10">
    <w:nsid w:val="451FDF0A"/>
    <w:multiLevelType w:val="singleLevel"/>
    <w:tmpl w:val="451FDF0A"/>
    <w:lvl w:ilvl="0" w:tentative="0">
      <w:start w:val="1"/>
      <w:numFmt w:val="decimal"/>
      <w:lvlText w:val="%1."/>
      <w:lvlJc w:val="left"/>
      <w:pPr>
        <w:ind w:left="425" w:hanging="425"/>
      </w:pPr>
      <w:rPr>
        <w:rFonts w:hint="default"/>
      </w:rPr>
    </w:lvl>
  </w:abstractNum>
  <w:abstractNum w:abstractNumId="11">
    <w:nsid w:val="5AC9E4D8"/>
    <w:multiLevelType w:val="singleLevel"/>
    <w:tmpl w:val="5AC9E4D8"/>
    <w:lvl w:ilvl="0" w:tentative="0">
      <w:start w:val="1"/>
      <w:numFmt w:val="decimal"/>
      <w:lvlText w:val="%1."/>
      <w:lvlJc w:val="left"/>
      <w:pPr>
        <w:ind w:left="425" w:hanging="425"/>
      </w:pPr>
      <w:rPr>
        <w:rFonts w:hint="default"/>
      </w:rPr>
    </w:lvl>
  </w:abstractNum>
  <w:abstractNum w:abstractNumId="12">
    <w:nsid w:val="6C10DCD7"/>
    <w:multiLevelType w:val="singleLevel"/>
    <w:tmpl w:val="6C10DCD7"/>
    <w:lvl w:ilvl="0" w:tentative="0">
      <w:start w:val="1"/>
      <w:numFmt w:val="decimal"/>
      <w:lvlText w:val="%1."/>
      <w:lvlJc w:val="left"/>
      <w:pPr>
        <w:ind w:left="425" w:hanging="425"/>
      </w:pPr>
      <w:rPr>
        <w:rFonts w:hint="default"/>
      </w:rPr>
    </w:lvl>
  </w:abstractNum>
  <w:abstractNum w:abstractNumId="13">
    <w:nsid w:val="749258C4"/>
    <w:multiLevelType w:val="singleLevel"/>
    <w:tmpl w:val="749258C4"/>
    <w:lvl w:ilvl="0" w:tentative="0">
      <w:start w:val="1"/>
      <w:numFmt w:val="decimal"/>
      <w:lvlText w:val="%1."/>
      <w:lvlJc w:val="left"/>
      <w:pPr>
        <w:ind w:left="425" w:hanging="425"/>
      </w:pPr>
      <w:rPr>
        <w:rFonts w:hint="default"/>
      </w:rPr>
    </w:lvl>
  </w:abstractNum>
  <w:abstractNum w:abstractNumId="14">
    <w:nsid w:val="7AC8C66E"/>
    <w:multiLevelType w:val="singleLevel"/>
    <w:tmpl w:val="7AC8C66E"/>
    <w:lvl w:ilvl="0" w:tentative="0">
      <w:start w:val="1"/>
      <w:numFmt w:val="decimal"/>
      <w:lvlText w:val="%1."/>
      <w:lvlJc w:val="left"/>
      <w:pPr>
        <w:ind w:left="425" w:hanging="425"/>
      </w:pPr>
      <w:rPr>
        <w:rFonts w:hint="default"/>
      </w:rPr>
    </w:lvl>
  </w:abstractNum>
  <w:num w:numId="1">
    <w:abstractNumId w:val="0"/>
  </w:num>
  <w:num w:numId="2">
    <w:abstractNumId w:val="11"/>
  </w:num>
  <w:num w:numId="3">
    <w:abstractNumId w:val="9"/>
  </w:num>
  <w:num w:numId="4">
    <w:abstractNumId w:val="10"/>
  </w:num>
  <w:num w:numId="5">
    <w:abstractNumId w:val="1"/>
  </w:num>
  <w:num w:numId="6">
    <w:abstractNumId w:val="2"/>
  </w:num>
  <w:num w:numId="7">
    <w:abstractNumId w:val="3"/>
  </w:num>
  <w:num w:numId="8">
    <w:abstractNumId w:val="13"/>
  </w:num>
  <w:num w:numId="9">
    <w:abstractNumId w:val="7"/>
  </w:num>
  <w:num w:numId="10">
    <w:abstractNumId w:val="8"/>
  </w:num>
  <w:num w:numId="11">
    <w:abstractNumId w:val="14"/>
  </w:num>
  <w:num w:numId="12">
    <w:abstractNumId w:val="4"/>
  </w:num>
  <w:num w:numId="13">
    <w:abstractNumId w:val="5"/>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391A26"/>
    <w:rsid w:val="026F6E6D"/>
    <w:rsid w:val="03B87F71"/>
    <w:rsid w:val="07245E7A"/>
    <w:rsid w:val="0F953DB9"/>
    <w:rsid w:val="11D0732A"/>
    <w:rsid w:val="13710699"/>
    <w:rsid w:val="14724FAA"/>
    <w:rsid w:val="15E50039"/>
    <w:rsid w:val="15F630D7"/>
    <w:rsid w:val="16DA250D"/>
    <w:rsid w:val="16EF3DAF"/>
    <w:rsid w:val="17107B4D"/>
    <w:rsid w:val="19C87A59"/>
    <w:rsid w:val="1F334A54"/>
    <w:rsid w:val="1F6F08C6"/>
    <w:rsid w:val="26F4129F"/>
    <w:rsid w:val="27BA11F6"/>
    <w:rsid w:val="27C748D4"/>
    <w:rsid w:val="2C4F42C9"/>
    <w:rsid w:val="2DC85380"/>
    <w:rsid w:val="30690DCF"/>
    <w:rsid w:val="36883480"/>
    <w:rsid w:val="36F22E55"/>
    <w:rsid w:val="3C460065"/>
    <w:rsid w:val="40102E4F"/>
    <w:rsid w:val="40194E88"/>
    <w:rsid w:val="41686388"/>
    <w:rsid w:val="45D56C69"/>
    <w:rsid w:val="45DB0FEE"/>
    <w:rsid w:val="471D19C3"/>
    <w:rsid w:val="47674298"/>
    <w:rsid w:val="48C51A45"/>
    <w:rsid w:val="4E4168DE"/>
    <w:rsid w:val="4F587A3C"/>
    <w:rsid w:val="53CA4721"/>
    <w:rsid w:val="559D264C"/>
    <w:rsid w:val="5AA75D1B"/>
    <w:rsid w:val="5B8C73EB"/>
    <w:rsid w:val="60007175"/>
    <w:rsid w:val="610B0DB2"/>
    <w:rsid w:val="66611474"/>
    <w:rsid w:val="66FB5425"/>
    <w:rsid w:val="69796FFD"/>
    <w:rsid w:val="6A2C06A2"/>
    <w:rsid w:val="6E9028F6"/>
    <w:rsid w:val="7F670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character" w:customStyle="1" w:styleId="42">
    <w:name w:val="font11"/>
    <w:basedOn w:val="22"/>
    <w:qFormat/>
    <w:uiPriority w:val="0"/>
    <w:rPr>
      <w:rFonts w:hint="eastAsia" w:ascii="宋体" w:hAnsi="宋体" w:eastAsia="宋体" w:cs="宋体"/>
      <w:color w:val="000000"/>
      <w:sz w:val="16"/>
      <w:szCs w:val="16"/>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7551</Words>
  <Characters>8070</Characters>
  <Lines>0</Lines>
  <Paragraphs>0</Paragraphs>
  <TotalTime>1</TotalTime>
  <ScaleCrop>false</ScaleCrop>
  <LinksUpToDate>false</LinksUpToDate>
  <CharactersWithSpaces>8258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2025-09-18T11:40:36Z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