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3.3.0.1 -->
  <w:body>
    <w:p>
      <w:pPr>
        <w:spacing w:before="78" w:line="219" w:lineRule="auto"/>
        <w:ind w:left="25"/>
        <w:rPr>
          <w:rFonts w:ascii="宋体" w:eastAsia="宋体" w:hAnsi="宋体" w:cs="宋体" w:hint="default"/>
          <w:sz w:val="24"/>
          <w:szCs w:val="24"/>
          <w:lang w:val="en-US" w:eastAsia="zh-CN"/>
        </w:rPr>
      </w:pPr>
      <w:r>
        <w:rPr>
          <w:rFonts w:ascii="宋体" w:eastAsia="宋体" w:hAnsi="宋体" w:cs="宋体"/>
          <w:b/>
          <w:bCs/>
          <w:spacing w:val="-3"/>
          <w:sz w:val="24"/>
          <w:szCs w:val="24"/>
        </w:rPr>
        <w:t>文件编号：ITSS-0</w:t>
      </w:r>
      <w:r>
        <w:rPr>
          <w:rFonts w:ascii="宋体" w:eastAsia="宋体" w:hAnsi="宋体" w:cs="宋体" w:hint="eastAsia"/>
          <w:b/>
          <w:bCs/>
          <w:spacing w:val="-3"/>
          <w:sz w:val="24"/>
          <w:szCs w:val="24"/>
          <w:lang w:val="en-US" w:eastAsia="zh-CN"/>
        </w:rPr>
        <w:t>3</w:t>
      </w:r>
      <w:r>
        <w:rPr>
          <w:rFonts w:ascii="宋体" w:eastAsia="宋体" w:hAnsi="宋体" w:cs="宋体"/>
          <w:b/>
          <w:bCs/>
          <w:spacing w:val="-3"/>
          <w:sz w:val="24"/>
          <w:szCs w:val="24"/>
        </w:rPr>
        <w:t>-0</w:t>
      </w:r>
      <w:r>
        <w:rPr>
          <w:rFonts w:ascii="宋体" w:eastAsia="宋体" w:hAnsi="宋体" w:cs="宋体" w:hint="eastAsia"/>
          <w:b/>
          <w:bCs/>
          <w:spacing w:val="-3"/>
          <w:sz w:val="24"/>
          <w:szCs w:val="24"/>
          <w:lang w:val="en-US" w:eastAsia="zh-CN"/>
        </w:rPr>
        <w:t>2-02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eastAsia="宋体" w:hAnsi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eastAsia="宋体" w:hAnsi="宋体" w:cs="宋体"/>
          <w:b/>
          <w:bCs/>
          <w:spacing w:val="-5"/>
          <w:sz w:val="24"/>
          <w:szCs w:val="24"/>
        </w:rPr>
        <w:t>：V1.0</w:t>
      </w:r>
    </w:p>
    <w:p>
      <w:pPr>
        <w:pStyle w:val="a"/>
        <w:bidi w:val="0"/>
      </w:pPr>
      <w:bookmarkStart w:id="0" w:name="_Toc573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>
      <w:pPr>
        <w:pStyle w:val="a0"/>
        <w:bidi w:val="0"/>
        <w:rPr>
          <w:rFonts w:hint="default"/>
          <w:lang w:val="en-US"/>
        </w:rPr>
      </w:pPr>
      <w:bookmarkStart w:id="1" w:name="_Toc27593"/>
      <w:r>
        <w:rPr>
          <w:rFonts w:hint="eastAsia"/>
          <w:lang w:val="en-US" w:eastAsia="zh-CN"/>
        </w:rPr>
        <w:t>运维服务能力管理</w:t>
      </w:r>
      <w:bookmarkEnd w:id="1"/>
      <w:r>
        <w:rPr>
          <w:rFonts w:hint="eastAsia"/>
          <w:lang w:val="en-US" w:eastAsia="zh-CN"/>
        </w:rPr>
        <w:t>报告</w:t>
      </w:r>
    </w:p>
    <w:tbl>
      <w:tblPr>
        <w:tblStyle w:val="TableGrid"/>
        <w:tblW w:w="0" w:type="auto"/>
        <w:tblInd w:w="2443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>
        <w:tblPrEx>
          <w:tblW w:w="0" w:type="auto"/>
          <w:tblInd w:w="2443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/>
        </w:trPr>
        <w:tc>
          <w:tcPr>
            <w:tcW w:w="1818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asciiTheme="minorAscii" w:eastAsiaTheme="minorEastAsia" w:hAnsiTheme="minorAscii" w:hint="default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vertAlign w:val="baseline"/>
                <w:lang w:val="en-US" w:eastAsia="zh-CN"/>
              </w:rPr>
              <w:t>文</w:t>
            </w:r>
          </w:p>
        </w:tc>
        <w:tc>
          <w:tcPr>
            <w:tcW w:w="426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asciiTheme="minorAscii" w:eastAsiaTheme="minorEastAsia" w:hAnsiTheme="minorAscii" w:hint="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2025.08.28</w:t>
            </w:r>
          </w:p>
        </w:tc>
      </w:tr>
      <w:tr>
        <w:tblPrEx>
          <w:tblW w:w="0" w:type="auto"/>
          <w:tblInd w:w="2443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/>
        </w:trPr>
        <w:tc>
          <w:tcPr>
            <w:tcW w:w="1818" w:type="dxa"/>
            <w:shd w:val="clear" w:color="auto" w:fill="auto"/>
          </w:tcPr>
          <w:p>
            <w:pPr>
              <w:widowControl w:val="0"/>
              <w:rPr>
                <w:rFonts w:ascii="Arial" w:eastAsia="Arial" w:hAnsi="Arial" w:cs="Arial" w:hint="eastAsia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asciiTheme="minorAscii" w:eastAsiaTheme="minorEastAsia" w:hAnsiTheme="minorAscii" w:hint="default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>
            <w:pPr>
              <w:widowControl w:val="0"/>
              <w:rPr>
                <w:rFonts w:ascii="Arial" w:eastAsia="Arial" w:hAnsi="Arial" w:cs="Arial" w:hint="eastAsia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asciiTheme="minorAscii" w:eastAsiaTheme="minorEastAsia" w:hAnsiTheme="minorAscii" w:hint="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2025.08.28</w:t>
            </w:r>
          </w:p>
        </w:tc>
      </w:tr>
      <w:tr>
        <w:tblPrEx>
          <w:tblW w:w="0" w:type="auto"/>
          <w:tblInd w:w="2443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/>
        </w:trPr>
        <w:tc>
          <w:tcPr>
            <w:tcW w:w="1818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asciiTheme="minorAscii" w:eastAsiaTheme="minorEastAsia" w:hAnsiTheme="minorAscii" w:hint="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asciiTheme="minorAscii" w:eastAsiaTheme="minorEastAsia" w:hAnsiTheme="minorAscii" w:hint="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2025.08.28</w:t>
            </w:r>
          </w:p>
        </w:tc>
      </w:tr>
    </w:tbl>
    <w:p>
      <w:r>
        <w:br w:type="page"/>
      </w:r>
    </w:p>
    <w:p>
      <w:pPr>
        <w:spacing w:before="153" w:line="225" w:lineRule="auto"/>
        <w:ind w:left="3634"/>
        <w:rPr>
          <w:rFonts w:ascii="宋体" w:eastAsia="宋体" w:hAnsi="宋体" w:cs="宋体"/>
          <w:sz w:val="31"/>
          <w:szCs w:val="31"/>
        </w:rPr>
      </w:pPr>
      <w:r>
        <w:rPr>
          <w:rFonts w:ascii="宋体" w:eastAsia="宋体" w:hAnsi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TableNormal0"/>
        <w:tblW w:w="830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>
        <w:tblPrEx>
          <w:tblW w:w="8301" w:type="dxa"/>
          <w:tblInd w:w="2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/>
        </w:trPr>
        <w:tc>
          <w:tcPr>
            <w:tcW w:w="1555" w:type="dxa"/>
          </w:tcPr>
          <w:p>
            <w:pPr>
              <w:spacing w:before="176" w:line="228" w:lineRule="auto"/>
              <w:ind w:left="607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>
            <w:pPr>
              <w:spacing w:before="175" w:line="227" w:lineRule="auto"/>
              <w:ind w:left="253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>
            <w:pPr>
              <w:spacing w:before="175" w:line="228" w:lineRule="auto"/>
              <w:ind w:left="730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>
            <w:pPr>
              <w:spacing w:before="175" w:line="228" w:lineRule="auto"/>
              <w:ind w:left="310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>
            <w:pPr>
              <w:spacing w:before="175" w:line="228" w:lineRule="auto"/>
              <w:ind w:left="310"/>
              <w:rPr>
                <w:rFonts w:ascii="宋体" w:eastAsia="宋体" w:hAnsi="宋体" w:cs="宋体" w:hint="eastAsia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>
            <w:pPr>
              <w:spacing w:before="176" w:line="229" w:lineRule="auto"/>
              <w:ind w:left="311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7"/>
                <w:sz w:val="20"/>
                <w:szCs w:val="20"/>
              </w:rPr>
              <w:t>批准人</w:t>
            </w:r>
          </w:p>
        </w:tc>
      </w:tr>
      <w:tr>
        <w:tblPrEx>
          <w:tblW w:w="8301" w:type="dxa"/>
          <w:tblInd w:w="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/>
        </w:trPr>
        <w:tc>
          <w:tcPr>
            <w:tcW w:w="1555" w:type="dxa"/>
          </w:tcPr>
          <w:p>
            <w:pPr>
              <w:spacing w:before="173" w:line="267" w:lineRule="exact"/>
              <w:ind w:left="260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3"/>
                <w:position w:val="1"/>
                <w:sz w:val="20"/>
                <w:szCs w:val="20"/>
              </w:rPr>
              <w:t>2025.0</w:t>
            </w:r>
            <w:r>
              <w:rPr>
                <w:rFonts w:ascii="宋体" w:eastAsia="宋体" w:hAnsi="宋体" w:cs="宋体" w:hint="eastAsia"/>
                <w:spacing w:val="3"/>
                <w:position w:val="1"/>
                <w:sz w:val="20"/>
                <w:szCs w:val="20"/>
                <w:lang w:val="en-US" w:eastAsia="zh-CN"/>
              </w:rPr>
              <w:t>8</w:t>
            </w:r>
            <w:r>
              <w:rPr>
                <w:rFonts w:ascii="宋体" w:eastAsia="宋体" w:hAnsi="宋体" w:cs="宋体"/>
                <w:spacing w:val="3"/>
                <w:position w:val="1"/>
                <w:sz w:val="20"/>
                <w:szCs w:val="20"/>
              </w:rPr>
              <w:t>.</w:t>
            </w:r>
            <w:r>
              <w:rPr>
                <w:rFonts w:ascii="宋体" w:eastAsia="宋体" w:hAnsi="宋体" w:cs="宋体" w:hint="eastAsia"/>
                <w:spacing w:val="3"/>
                <w:position w:val="1"/>
                <w:sz w:val="20"/>
                <w:szCs w:val="20"/>
                <w:lang w:val="en-US" w:eastAsia="zh-CN"/>
              </w:rPr>
              <w:t>2</w:t>
            </w:r>
            <w:r>
              <w:rPr>
                <w:rFonts w:ascii="宋体" w:eastAsia="宋体" w:hAnsi="宋体" w:cs="宋体"/>
                <w:spacing w:val="3"/>
                <w:position w:val="1"/>
                <w:sz w:val="20"/>
                <w:szCs w:val="20"/>
              </w:rPr>
              <w:t>8</w:t>
            </w:r>
          </w:p>
        </w:tc>
        <w:tc>
          <w:tcPr>
            <w:tcW w:w="919" w:type="dxa"/>
          </w:tcPr>
          <w:p>
            <w:pPr>
              <w:spacing w:before="173" w:line="267" w:lineRule="exact"/>
              <w:ind w:left="248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>
            <w:pPr>
              <w:spacing w:before="172" w:line="228" w:lineRule="auto"/>
              <w:ind w:left="114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>
            <w:pPr>
              <w:spacing w:before="172" w:line="228" w:lineRule="auto"/>
              <w:ind w:left="313"/>
              <w:rPr>
                <w:rFonts w:ascii="宋体" w:eastAsia="宋体" w:hAnsi="宋体" w:cs="宋体"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pacing w:val="105"/>
                <w:kern w:val="0"/>
                <w:u w:val="single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vertAlign w:val="baseline"/>
                <w:lang w:val="en-US" w:eastAsia="zh-CN"/>
              </w:rPr>
              <w:t>文</w:t>
            </w:r>
          </w:p>
        </w:tc>
        <w:tc>
          <w:tcPr>
            <w:tcW w:w="1150" w:type="dxa"/>
          </w:tcPr>
          <w:p>
            <w:pPr>
              <w:spacing w:before="172" w:line="228" w:lineRule="auto"/>
              <w:ind w:left="313"/>
              <w:rPr>
                <w:rFonts w:ascii="宋体" w:eastAsia="宋体" w:hAnsi="宋体" w:cs="宋体" w:hint="eastAsia"/>
                <w:spacing w:val="5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>
            <w:pPr>
              <w:spacing w:before="173" w:line="229" w:lineRule="auto"/>
              <w:ind w:left="314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>
        <w:tblPrEx>
          <w:tblW w:w="8301" w:type="dxa"/>
          <w:tblInd w:w="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/>
        </w:trPr>
        <w:tc>
          <w:tcPr>
            <w:tcW w:w="1555" w:type="dxa"/>
          </w:tcPr>
          <w:p>
            <w:pPr>
              <w:pStyle w:val="TableText"/>
            </w:pPr>
          </w:p>
        </w:tc>
        <w:tc>
          <w:tcPr>
            <w:tcW w:w="919" w:type="dxa"/>
          </w:tcPr>
          <w:p>
            <w:pPr>
              <w:pStyle w:val="TableText"/>
            </w:pPr>
          </w:p>
        </w:tc>
        <w:tc>
          <w:tcPr>
            <w:tcW w:w="2289" w:type="dxa"/>
          </w:tcPr>
          <w:p>
            <w:pPr>
              <w:pStyle w:val="TableText"/>
            </w:pPr>
          </w:p>
        </w:tc>
        <w:tc>
          <w:tcPr>
            <w:tcW w:w="1148" w:type="dxa"/>
          </w:tcPr>
          <w:p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>
            <w:pPr>
              <w:pStyle w:val="TableText"/>
            </w:pPr>
          </w:p>
        </w:tc>
      </w:tr>
      <w:tr>
        <w:tblPrEx>
          <w:tblW w:w="8301" w:type="dxa"/>
          <w:tblInd w:w="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/>
        </w:trPr>
        <w:tc>
          <w:tcPr>
            <w:tcW w:w="1555" w:type="dxa"/>
          </w:tcPr>
          <w:p>
            <w:pPr>
              <w:pStyle w:val="TableText"/>
            </w:pPr>
          </w:p>
        </w:tc>
        <w:tc>
          <w:tcPr>
            <w:tcW w:w="919" w:type="dxa"/>
          </w:tcPr>
          <w:p>
            <w:pPr>
              <w:pStyle w:val="TableText"/>
            </w:pPr>
          </w:p>
        </w:tc>
        <w:tc>
          <w:tcPr>
            <w:tcW w:w="2289" w:type="dxa"/>
          </w:tcPr>
          <w:p>
            <w:pPr>
              <w:pStyle w:val="TableText"/>
            </w:pPr>
          </w:p>
        </w:tc>
        <w:tc>
          <w:tcPr>
            <w:tcW w:w="1148" w:type="dxa"/>
          </w:tcPr>
          <w:p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>
            <w:pPr>
              <w:pStyle w:val="TableText"/>
            </w:pPr>
          </w:p>
        </w:tc>
      </w:tr>
      <w:tr>
        <w:tblPrEx>
          <w:tblW w:w="8301" w:type="dxa"/>
          <w:tblInd w:w="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/>
        </w:trPr>
        <w:tc>
          <w:tcPr>
            <w:tcW w:w="1555" w:type="dxa"/>
          </w:tcPr>
          <w:p>
            <w:pPr>
              <w:pStyle w:val="TableText"/>
            </w:pPr>
          </w:p>
        </w:tc>
        <w:tc>
          <w:tcPr>
            <w:tcW w:w="919" w:type="dxa"/>
          </w:tcPr>
          <w:p>
            <w:pPr>
              <w:pStyle w:val="TableText"/>
            </w:pPr>
          </w:p>
        </w:tc>
        <w:tc>
          <w:tcPr>
            <w:tcW w:w="2289" w:type="dxa"/>
          </w:tcPr>
          <w:p>
            <w:pPr>
              <w:pStyle w:val="TableText"/>
            </w:pPr>
          </w:p>
        </w:tc>
        <w:tc>
          <w:tcPr>
            <w:tcW w:w="1148" w:type="dxa"/>
          </w:tcPr>
          <w:p>
            <w:pPr>
              <w:pStyle w:val="TableText"/>
            </w:pPr>
          </w:p>
        </w:tc>
        <w:tc>
          <w:tcPr>
            <w:tcW w:w="1150" w:type="dxa"/>
          </w:tcPr>
          <w:p>
            <w:pPr>
              <w:pStyle w:val="TableText"/>
            </w:pPr>
          </w:p>
        </w:tc>
        <w:tc>
          <w:tcPr>
            <w:tcW w:w="1240" w:type="dxa"/>
          </w:tcPr>
          <w:p>
            <w:pPr>
              <w:pStyle w:val="TableText"/>
            </w:pPr>
          </w:p>
        </w:tc>
      </w:tr>
      <w:tr>
        <w:tblPrEx>
          <w:tblW w:w="8301" w:type="dxa"/>
          <w:tblInd w:w="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/>
        </w:trPr>
        <w:tc>
          <w:tcPr>
            <w:tcW w:w="1555" w:type="dxa"/>
          </w:tcPr>
          <w:p>
            <w:pPr>
              <w:pStyle w:val="TableText"/>
            </w:pPr>
          </w:p>
        </w:tc>
        <w:tc>
          <w:tcPr>
            <w:tcW w:w="919" w:type="dxa"/>
          </w:tcPr>
          <w:p>
            <w:pPr>
              <w:pStyle w:val="TableText"/>
            </w:pPr>
          </w:p>
        </w:tc>
        <w:tc>
          <w:tcPr>
            <w:tcW w:w="2289" w:type="dxa"/>
          </w:tcPr>
          <w:p>
            <w:pPr>
              <w:pStyle w:val="TableText"/>
            </w:pPr>
          </w:p>
        </w:tc>
        <w:tc>
          <w:tcPr>
            <w:tcW w:w="1148" w:type="dxa"/>
          </w:tcPr>
          <w:p>
            <w:pPr>
              <w:pStyle w:val="TableText"/>
            </w:pPr>
          </w:p>
        </w:tc>
        <w:tc>
          <w:tcPr>
            <w:tcW w:w="1150" w:type="dxa"/>
          </w:tcPr>
          <w:p>
            <w:pPr>
              <w:pStyle w:val="TableText"/>
            </w:pPr>
          </w:p>
        </w:tc>
        <w:tc>
          <w:tcPr>
            <w:tcW w:w="1240" w:type="dxa"/>
          </w:tcPr>
          <w:p>
            <w:pPr>
              <w:pStyle w:val="TableText"/>
            </w:pPr>
          </w:p>
        </w:tc>
      </w:tr>
      <w:tr>
        <w:tblPrEx>
          <w:tblW w:w="8301" w:type="dxa"/>
          <w:tblInd w:w="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/>
        </w:trPr>
        <w:tc>
          <w:tcPr>
            <w:tcW w:w="1555" w:type="dxa"/>
          </w:tcPr>
          <w:p>
            <w:pPr>
              <w:pStyle w:val="TableText"/>
            </w:pPr>
          </w:p>
        </w:tc>
        <w:tc>
          <w:tcPr>
            <w:tcW w:w="919" w:type="dxa"/>
          </w:tcPr>
          <w:p>
            <w:pPr>
              <w:pStyle w:val="TableText"/>
            </w:pPr>
          </w:p>
        </w:tc>
        <w:tc>
          <w:tcPr>
            <w:tcW w:w="2289" w:type="dxa"/>
          </w:tcPr>
          <w:p>
            <w:pPr>
              <w:pStyle w:val="TableText"/>
            </w:pPr>
          </w:p>
        </w:tc>
        <w:tc>
          <w:tcPr>
            <w:tcW w:w="1148" w:type="dxa"/>
          </w:tcPr>
          <w:p>
            <w:pPr>
              <w:pStyle w:val="TableText"/>
            </w:pPr>
          </w:p>
        </w:tc>
        <w:tc>
          <w:tcPr>
            <w:tcW w:w="1150" w:type="dxa"/>
          </w:tcPr>
          <w:p>
            <w:pPr>
              <w:pStyle w:val="TableText"/>
            </w:pPr>
          </w:p>
        </w:tc>
        <w:tc>
          <w:tcPr>
            <w:tcW w:w="1240" w:type="dxa"/>
          </w:tcPr>
          <w:p>
            <w:pPr>
              <w:pStyle w:val="TableText"/>
            </w:pPr>
          </w:p>
        </w:tc>
      </w:tr>
    </w:tbl>
    <w:p>
      <w:r>
        <w:br w:type="page"/>
      </w:r>
    </w:p>
    <w:sdt>
      <w:sdtPr>
        <w:rPr>
          <w:rFonts w:ascii="宋体" w:eastAsia="宋体" w:hAnsi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ascii="宋体" w:eastAsia="宋体" w:hAnsi="宋体" w:cs="宋体" w:hint="eastAsia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>
          <w:pPr>
            <w:spacing w:before="0" w:beforeLines="0" w:after="0" w:afterLines="0" w:line="240" w:lineRule="auto"/>
            <w:ind w:left="0" w:right="0" w:firstLine="0" w:leftChars="0" w:rightChars="0" w:firstLineChars="0"/>
            <w:jc w:val="center"/>
            <w:rPr>
              <w:rFonts w:ascii="宋体" w:eastAsia="宋体" w:hAnsi="宋体" w:cs="宋体" w:hint="eastAsia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t>目录</w:t>
          </w:r>
        </w:p>
        <w:p>
          <w:pPr>
            <w:pStyle w:val="TOC1"/>
            <w:tabs>
              <w:tab w:val="right" w:leader="dot" w:pos="8306"/>
            </w:tabs>
            <w:rPr>
              <w:rFonts w:ascii="宋体" w:eastAsia="宋体" w:hAnsi="宋体" w:cs="宋体" w:hint="eastAsia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TOC \o "1-3" \h \u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HYPERLINK \l _Toc5738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  <w:lang w:val="en-US" w:eastAsia="zh-CN"/>
            </w:rPr>
            <w:t>万洲奇智（青岛）信息科技有限</w:t>
          </w:r>
          <w:r>
            <w:rPr>
              <w:rFonts w:ascii="宋体" w:eastAsia="宋体" w:hAnsi="宋体" w:cs="宋体" w:hint="eastAsia"/>
              <w:sz w:val="24"/>
              <w:szCs w:val="24"/>
            </w:rPr>
            <w:t>公司</w:t>
          </w:r>
          <w:r>
            <w:rPr>
              <w:rFonts w:ascii="宋体" w:eastAsia="宋体" w:hAnsi="宋体" w:cs="宋体" w:hint="eastAsia"/>
              <w:sz w:val="24"/>
              <w:szCs w:val="24"/>
            </w:rPr>
            <w:tab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PAGEREF _Toc5738 \h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1</w: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</w:p>
        <w:p>
          <w:pPr>
            <w:pStyle w:val="TOC1"/>
            <w:tabs>
              <w:tab w:val="right" w:leader="dot" w:pos="8306"/>
            </w:tabs>
            <w:rPr>
              <w:rFonts w:ascii="宋体" w:eastAsia="宋体" w:hAnsi="宋体" w:cs="宋体" w:hint="eastAsia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HYPERLINK \l _Toc27593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  <w:lang w:val="en-US" w:eastAsia="zh-CN"/>
            </w:rPr>
            <w:t>人员工作交接管理制度</w:t>
          </w:r>
          <w:r>
            <w:rPr>
              <w:rFonts w:ascii="宋体" w:eastAsia="宋体" w:hAnsi="宋体" w:cs="宋体" w:hint="eastAsia"/>
              <w:sz w:val="24"/>
              <w:szCs w:val="24"/>
            </w:rPr>
            <w:tab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PAGEREF _Toc27593 \h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1</w: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</w:p>
        <w:p>
          <w:pPr>
            <w:pStyle w:val="TOC1"/>
            <w:tabs>
              <w:tab w:val="right" w:leader="dot" w:pos="8306"/>
            </w:tabs>
            <w:rPr>
              <w:rFonts w:ascii="宋体" w:eastAsia="宋体" w:hAnsi="宋体" w:cs="宋体" w:hint="eastAsia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HYPERLINK \l _Toc30213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1. 目的</w:t>
          </w:r>
          <w:r>
            <w:rPr>
              <w:rFonts w:ascii="宋体" w:eastAsia="宋体" w:hAnsi="宋体" w:cs="宋体" w:hint="eastAsia"/>
              <w:sz w:val="24"/>
              <w:szCs w:val="24"/>
            </w:rPr>
            <w:tab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PAGEREF _Toc30213 \h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4</w: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</w:p>
        <w:p>
          <w:pPr>
            <w:pStyle w:val="TOC1"/>
            <w:tabs>
              <w:tab w:val="right" w:leader="dot" w:pos="8306"/>
            </w:tabs>
            <w:rPr>
              <w:rFonts w:ascii="宋体" w:eastAsia="宋体" w:hAnsi="宋体" w:cs="宋体" w:hint="eastAsia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HYPERLINK \l _Toc17591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2. 范围：</w:t>
          </w:r>
          <w:r>
            <w:rPr>
              <w:rFonts w:ascii="宋体" w:eastAsia="宋体" w:hAnsi="宋体" w:cs="宋体" w:hint="eastAsia"/>
              <w:sz w:val="24"/>
              <w:szCs w:val="24"/>
            </w:rPr>
            <w:tab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PAGEREF _Toc17591 \h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4</w: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</w:p>
        <w:p>
          <w:pPr>
            <w:pStyle w:val="TOC1"/>
            <w:tabs>
              <w:tab w:val="right" w:leader="dot" w:pos="8306"/>
            </w:tabs>
            <w:rPr>
              <w:rFonts w:ascii="宋体" w:eastAsia="宋体" w:hAnsi="宋体" w:cs="宋体" w:hint="eastAsia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HYPERLINK \l _Toc11037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3. 离职类别与定义：</w:t>
          </w:r>
          <w:r>
            <w:rPr>
              <w:rFonts w:ascii="宋体" w:eastAsia="宋体" w:hAnsi="宋体" w:cs="宋体" w:hint="eastAsia"/>
              <w:sz w:val="24"/>
              <w:szCs w:val="24"/>
            </w:rPr>
            <w:tab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PAGEREF _Toc11037 \h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4</w: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</w:p>
        <w:p>
          <w:pPr>
            <w:pStyle w:val="TOC1"/>
            <w:tabs>
              <w:tab w:val="right" w:leader="dot" w:pos="8306"/>
            </w:tabs>
            <w:rPr>
              <w:rFonts w:ascii="宋体" w:eastAsia="宋体" w:hAnsi="宋体" w:cs="宋体" w:hint="eastAsia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HYPERLINK \l _Toc28776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4. 离职办理程序</w:t>
          </w:r>
          <w:r>
            <w:rPr>
              <w:rFonts w:ascii="宋体" w:eastAsia="宋体" w:hAnsi="宋体" w:cs="宋体" w:hint="eastAsia"/>
              <w:sz w:val="24"/>
              <w:szCs w:val="24"/>
            </w:rPr>
            <w:tab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PAGEREF _Toc28776 \h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4</w: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</w:p>
        <w:p>
          <w:pPr>
            <w:pStyle w:val="TOC2"/>
            <w:tabs>
              <w:tab w:val="right" w:leader="dot" w:pos="8306"/>
            </w:tabs>
            <w:rPr>
              <w:rFonts w:ascii="宋体" w:eastAsia="宋体" w:hAnsi="宋体" w:cs="宋体" w:hint="eastAsia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HYPERLINK \l _Toc10045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4.1. 辞职程序</w:t>
          </w:r>
          <w:r>
            <w:rPr>
              <w:rFonts w:ascii="宋体" w:eastAsia="宋体" w:hAnsi="宋体" w:cs="宋体" w:hint="eastAsia"/>
              <w:sz w:val="24"/>
              <w:szCs w:val="24"/>
            </w:rPr>
            <w:tab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PAGEREF _Toc10045 \h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4</w: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</w:p>
        <w:p>
          <w:pPr>
            <w:pStyle w:val="TOC2"/>
            <w:tabs>
              <w:tab w:val="right" w:leader="dot" w:pos="8306"/>
            </w:tabs>
            <w:rPr>
              <w:rFonts w:ascii="宋体" w:eastAsia="宋体" w:hAnsi="宋体" w:cs="宋体" w:hint="eastAsia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HYPERLINK \l _Toc24078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4.2. 辞退</w:t>
          </w:r>
          <w:r>
            <w:rPr>
              <w:rFonts w:ascii="宋体" w:eastAsia="宋体" w:hAnsi="宋体" w:cs="宋体" w:hint="eastAsia"/>
              <w:sz w:val="24"/>
              <w:szCs w:val="24"/>
            </w:rPr>
            <w:tab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PAGEREF _Toc24078 \h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5</w: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</w:p>
        <w:p>
          <w:pPr>
            <w:pStyle w:val="TOC2"/>
            <w:tabs>
              <w:tab w:val="right" w:leader="dot" w:pos="8306"/>
            </w:tabs>
            <w:rPr>
              <w:rFonts w:ascii="宋体" w:eastAsia="宋体" w:hAnsi="宋体" w:cs="宋体" w:hint="eastAsia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HYPERLINK \l _Toc6490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4.3. 协商解除劳动关系程序</w:t>
          </w:r>
          <w:r>
            <w:rPr>
              <w:rFonts w:ascii="宋体" w:eastAsia="宋体" w:hAnsi="宋体" w:cs="宋体" w:hint="eastAsia"/>
              <w:sz w:val="24"/>
              <w:szCs w:val="24"/>
            </w:rPr>
            <w:tab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PAGEREF _Toc6490 \h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5</w: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</w:p>
        <w:p>
          <w:pPr>
            <w:pStyle w:val="TOC2"/>
            <w:tabs>
              <w:tab w:val="right" w:leader="dot" w:pos="8306"/>
            </w:tabs>
            <w:rPr>
              <w:rFonts w:ascii="宋体" w:eastAsia="宋体" w:hAnsi="宋体" w:cs="宋体" w:hint="eastAsia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HYPERLINK \l _Toc13099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  <w:lang w:val="en-US" w:eastAsia="zh-CN"/>
            </w:rPr>
            <w:t>4.4. 自动离职</w:t>
          </w:r>
          <w:r>
            <w:rPr>
              <w:rFonts w:ascii="宋体" w:eastAsia="宋体" w:hAnsi="宋体" w:cs="宋体" w:hint="eastAsia"/>
              <w:sz w:val="24"/>
              <w:szCs w:val="24"/>
            </w:rPr>
            <w:tab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PAGEREF _Toc13099 \h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5</w: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</w:p>
        <w:p>
          <w:pPr>
            <w:pStyle w:val="TOC1"/>
            <w:tabs>
              <w:tab w:val="right" w:leader="dot" w:pos="8306"/>
            </w:tabs>
            <w:rPr>
              <w:rFonts w:ascii="宋体" w:eastAsia="宋体" w:hAnsi="宋体" w:cs="宋体" w:hint="eastAsia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HYPERLINK \l _Toc455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5. 工作交接流程</w:t>
          </w:r>
          <w:r>
            <w:rPr>
              <w:rFonts w:ascii="宋体" w:eastAsia="宋体" w:hAnsi="宋体" w:cs="宋体" w:hint="eastAsia"/>
              <w:sz w:val="24"/>
              <w:szCs w:val="24"/>
            </w:rPr>
            <w:tab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PAGEREF _Toc455 \h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5</w: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</w:p>
        <w:p>
          <w:pPr>
            <w:pStyle w:val="TOC2"/>
            <w:tabs>
              <w:tab w:val="right" w:leader="dot" w:pos="8306"/>
            </w:tabs>
            <w:rPr>
              <w:rFonts w:ascii="宋体" w:eastAsia="宋体" w:hAnsi="宋体" w:cs="宋体" w:hint="eastAsia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HYPERLINK \l _Toc1081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 xml:space="preserve">1. </w:t>
          </w:r>
          <w:r>
            <w:rPr>
              <w:rFonts w:ascii="宋体" w:eastAsia="宋体" w:hAnsi="宋体" w:cs="宋体" w:hint="eastAsia"/>
              <w:spacing w:val="-5"/>
              <w:sz w:val="24"/>
              <w:szCs w:val="24"/>
            </w:rPr>
            <w:t>工作交接</w:t>
          </w:r>
          <w:r>
            <w:rPr>
              <w:rFonts w:ascii="宋体" w:eastAsia="宋体" w:hAnsi="宋体" w:cs="宋体" w:hint="eastAsia"/>
              <w:sz w:val="24"/>
              <w:szCs w:val="24"/>
            </w:rPr>
            <w:tab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PAGEREF _Toc1081 \h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6</w: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</w:p>
        <w:p>
          <w:pPr>
            <w:pStyle w:val="TOC2"/>
            <w:tabs>
              <w:tab w:val="right" w:leader="dot" w:pos="8306"/>
            </w:tabs>
            <w:rPr>
              <w:rFonts w:ascii="宋体" w:eastAsia="宋体" w:hAnsi="宋体" w:cs="宋体" w:hint="eastAsia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HYPERLINK \l _Toc10944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 xml:space="preserve">2. </w:t>
          </w:r>
          <w:r>
            <w:rPr>
              <w:rFonts w:ascii="宋体" w:eastAsia="宋体" w:hAnsi="宋体" w:cs="宋体" w:hint="eastAsia"/>
              <w:spacing w:val="-2"/>
              <w:sz w:val="24"/>
              <w:szCs w:val="24"/>
            </w:rPr>
            <w:t>关部门签字确认</w:t>
          </w:r>
          <w:r>
            <w:rPr>
              <w:rFonts w:ascii="宋体" w:eastAsia="宋体" w:hAnsi="宋体" w:cs="宋体" w:hint="eastAsia"/>
              <w:sz w:val="24"/>
              <w:szCs w:val="24"/>
            </w:rPr>
            <w:tab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PAGEREF _Toc10944 \h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6</w: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</w:p>
        <w:p>
          <w:pPr>
            <w:pStyle w:val="TOC1"/>
            <w:tabs>
              <w:tab w:val="right" w:leader="dot" w:pos="8306"/>
            </w:tabs>
            <w:rPr>
              <w:rFonts w:ascii="宋体" w:eastAsia="宋体" w:hAnsi="宋体" w:cs="宋体" w:hint="eastAsia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HYPERLINK \l _Toc901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6. 其他事项</w:t>
          </w:r>
          <w:r>
            <w:rPr>
              <w:rFonts w:ascii="宋体" w:eastAsia="宋体" w:hAnsi="宋体" w:cs="宋体" w:hint="eastAsia"/>
              <w:sz w:val="24"/>
              <w:szCs w:val="24"/>
            </w:rPr>
            <w:tab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  <w:szCs w:val="24"/>
            </w:rPr>
            <w:instrText xml:space="preserve"> PAGEREF _Toc901 \h </w:instrTex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separate"/>
          </w:r>
          <w:r>
            <w:rPr>
              <w:rFonts w:ascii="宋体" w:eastAsia="宋体" w:hAnsi="宋体" w:cs="宋体" w:hint="eastAsia"/>
              <w:sz w:val="24"/>
              <w:szCs w:val="24"/>
            </w:rPr>
            <w:t>6</w:t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</w:p>
        <w:p>
          <w:pPr>
            <w:bidi w:val="0"/>
            <w:rPr>
              <w:rFonts w:ascii="宋体" w:eastAsia="宋体" w:hAnsi="宋体" w:cs="宋体" w:hint="eastAsia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fldChar w:fldCharType="end"/>
          </w:r>
        </w:p>
      </w:sdtContent>
    </w:sdt>
    <w:p>
      <w:pPr>
        <w:rPr>
          <w:rFonts w:ascii="Arial" w:eastAsia="Arial" w:hAnsi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eastAsia="Arial" w:hAnsi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>
      <w:pPr>
        <w:pStyle w:val="1"/>
        <w:bidi w:val="0"/>
      </w:pPr>
      <w:r>
        <w:rPr>
          <w:rFonts w:hint="eastAsia"/>
          <w:lang w:val="en-US" w:eastAsia="zh-CN"/>
        </w:rPr>
        <w:t>概述</w:t>
      </w:r>
    </w:p>
    <w:p>
      <w:pPr>
        <w:pStyle w:val="a1"/>
        <w:bidi w:val="0"/>
      </w:pPr>
      <w:r>
        <w:rPr>
          <w:rFonts w:hint="default"/>
        </w:rPr>
        <w:t>2025年，公司设定全年运维服务收入目标为510万元。</w:t>
      </w:r>
      <w:r>
        <w:rPr>
          <w:rFonts w:hint="eastAsia"/>
          <w:lang w:val="en-US" w:eastAsia="zh-CN"/>
        </w:rPr>
        <w:t>截止目前</w:t>
      </w:r>
      <w:r>
        <w:rPr>
          <w:rFonts w:hint="default"/>
        </w:rPr>
        <w:t>运维业务持续快速发展，公司始终秉持以客户满意为核心的服务导向，通过加强人才队伍建设、持续提升服务水平、加大研发支持力度，不断优化最终软件库管理，并增强各团队服务能力，为客户提供更加优质高效的运维服务支持。截至2025年</w:t>
      </w:r>
      <w:r>
        <w:rPr>
          <w:rFonts w:hint="eastAsia"/>
          <w:lang w:val="en-US" w:eastAsia="zh-CN"/>
        </w:rPr>
        <w:t>8</w:t>
      </w:r>
      <w:r>
        <w:rPr>
          <w:rFonts w:hint="default"/>
        </w:rPr>
        <w:t>月，运维业务实现收入</w:t>
      </w:r>
      <w:r>
        <w:rPr>
          <w:rFonts w:hint="eastAsia"/>
          <w:lang w:val="en-US" w:eastAsia="zh-CN"/>
        </w:rPr>
        <w:t>400</w:t>
      </w:r>
      <w:r>
        <w:rPr>
          <w:rFonts w:hint="default"/>
        </w:rPr>
        <w:t>万元，完成全年目标的</w:t>
      </w:r>
      <w:r>
        <w:rPr>
          <w:rFonts w:hint="eastAsia"/>
          <w:lang w:val="en-US" w:eastAsia="zh-CN"/>
        </w:rPr>
        <w:t>78.43%</w:t>
      </w:r>
      <w:r>
        <w:rPr>
          <w:rFonts w:hint="default"/>
        </w:rPr>
        <w:t>%，进度符合预期。</w:t>
      </w:r>
    </w:p>
    <w:p>
      <w:pPr>
        <w:pStyle w:val="a1"/>
        <w:bidi w:val="0"/>
        <w:rPr>
          <w:rFonts w:hint="default"/>
        </w:rPr>
      </w:pPr>
      <w:r>
        <w:rPr>
          <w:rFonts w:hint="default"/>
        </w:rPr>
        <w:t>为规范运维服务流程、提升服务品质与客户满意度，公司于2025年1月正式建立符合ITSS（信息技术服务标准）要求的运维服务能力管理体系，并全面推行实施。为充分发挥ITSS体系效能，公司制定了系统的运维服务能力管理规划，在过去半年中对各项运维能力目标的达成情况持续跟踪监督，并依据ITSS标准开展了内部符合性评估。从阶段性运行结果及内部评估情况来看，公司基本达成了年初制定的运维服务能力建设目标，体系运行总体有效。</w:t>
      </w:r>
    </w:p>
    <w:p>
      <w:pPr>
        <w:pStyle w:val="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能力管理总结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人员管理管理情况总结</w:t>
      </w:r>
    </w:p>
    <w:p>
      <w:pPr>
        <w:pStyle w:val="3"/>
        <w:bidi w:val="0"/>
      </w:pPr>
      <w:r>
        <w:rPr>
          <w:rFonts w:hint="default"/>
        </w:rPr>
        <w:t>人员</w:t>
      </w:r>
      <w:r>
        <w:rPr>
          <w:rFonts w:hint="eastAsia"/>
          <w:lang w:val="en-US" w:eastAsia="zh-CN"/>
        </w:rPr>
        <w:t>招聘</w:t>
      </w:r>
      <w:r>
        <w:rPr>
          <w:rFonts w:hint="eastAsia"/>
          <w:lang w:eastAsia="zh-CN"/>
        </w:rPr>
        <w:t>管理情况总结</w:t>
      </w:r>
    </w:p>
    <w:p>
      <w:pPr>
        <w:pStyle w:val="a1"/>
        <w:bidi w:val="0"/>
        <w:rPr>
          <w:rFonts w:hint="default"/>
        </w:rPr>
      </w:pPr>
      <w:r>
        <w:rPr>
          <w:rFonts w:hint="eastAsia"/>
          <w:lang w:val="en-US" w:eastAsia="zh-CN"/>
        </w:rPr>
        <w:t>截止2025年8月，计划招聘软件运维工程师1人、研发工程师1人；</w:t>
      </w:r>
      <w:r>
        <w:rPr>
          <w:rFonts w:hint="default"/>
        </w:rPr>
        <w:t>2025年第一、二季度计划招聘</w:t>
      </w:r>
      <w:r>
        <w:rPr>
          <w:rFonts w:hint="eastAsia"/>
          <w:lang w:val="en-US" w:eastAsia="zh-CN"/>
        </w:rPr>
        <w:t>软件</w:t>
      </w:r>
      <w:r>
        <w:rPr>
          <w:rFonts w:hint="default"/>
        </w:rPr>
        <w:t>运维</w:t>
      </w:r>
      <w:r>
        <w:rPr>
          <w:rFonts w:hint="eastAsia"/>
          <w:lang w:val="en-US" w:eastAsia="zh-CN"/>
        </w:rPr>
        <w:t>工程师</w:t>
      </w:r>
      <w:r>
        <w:rPr>
          <w:rFonts w:hint="default"/>
        </w:rPr>
        <w:t>1人，实际完成招聘1人，新员工按时到岗率为100%，符合预期目标。</w:t>
      </w:r>
    </w:p>
    <w:p>
      <w:pPr>
        <w:pStyle w:val="3"/>
        <w:bidi w:val="0"/>
      </w:pPr>
      <w:r>
        <w:rPr>
          <w:rFonts w:hint="default"/>
        </w:rPr>
        <w:t>人员</w:t>
      </w:r>
      <w:r>
        <w:rPr>
          <w:rFonts w:hint="eastAsia"/>
          <w:lang w:val="en-US" w:eastAsia="zh-CN"/>
        </w:rPr>
        <w:t>储备</w:t>
      </w:r>
      <w:r>
        <w:rPr>
          <w:rFonts w:hint="eastAsia"/>
          <w:lang w:eastAsia="zh-CN"/>
        </w:rPr>
        <w:t>管理情况总结</w:t>
      </w:r>
    </w:p>
    <w:p>
      <w:pPr>
        <w:pStyle w:val="a1"/>
        <w:bidi w:val="0"/>
        <w:rPr>
          <w:rFonts w:hint="default"/>
        </w:rPr>
      </w:pPr>
      <w:r>
        <w:rPr>
          <w:rFonts w:hint="default"/>
        </w:rPr>
        <w:t>计划于2025年</w:t>
      </w:r>
      <w:r>
        <w:rPr>
          <w:rFonts w:hint="eastAsia"/>
          <w:lang w:val="en-US" w:eastAsia="zh-CN"/>
        </w:rPr>
        <w:t>6</w:t>
      </w:r>
      <w:r>
        <w:rPr>
          <w:rFonts w:hint="default"/>
        </w:rPr>
        <w:t>月底前完成2名后备人员储备，目前已全面落实2人储备任务，人员储备率超过90%，达到考核要求。</w:t>
      </w:r>
    </w:p>
    <w:p>
      <w:pPr>
        <w:pStyle w:val="3"/>
        <w:bidi w:val="0"/>
      </w:pPr>
      <w:r>
        <w:rPr>
          <w:rFonts w:hint="default"/>
        </w:rPr>
        <w:t>人员</w:t>
      </w:r>
      <w:r>
        <w:rPr>
          <w:rFonts w:hint="eastAsia"/>
          <w:lang w:val="en-US" w:eastAsia="zh-CN"/>
        </w:rPr>
        <w:t>备份</w:t>
      </w:r>
      <w:r>
        <w:rPr>
          <w:rFonts w:hint="eastAsia"/>
          <w:lang w:eastAsia="zh-CN"/>
        </w:rPr>
        <w:t>管理情况总结</w:t>
      </w:r>
    </w:p>
    <w:p>
      <w:pPr>
        <w:pStyle w:val="a1"/>
        <w:bidi w:val="0"/>
        <w:rPr>
          <w:rFonts w:hint="default"/>
        </w:rPr>
      </w:pPr>
      <w:r>
        <w:rPr>
          <w:rFonts w:hint="default"/>
        </w:rPr>
        <w:t>2025年1月，公司在运维部经理、运维项目经理、软件运维工程师、</w:t>
      </w:r>
      <w:r>
        <w:rPr>
          <w:rFonts w:hint="eastAsia"/>
          <w:lang w:val="en-US" w:eastAsia="zh-CN"/>
        </w:rPr>
        <w:t>研发项目经理等</w:t>
      </w:r>
      <w:r>
        <w:rPr>
          <w:rFonts w:hint="default"/>
        </w:rPr>
        <w:t>关键岗位全面推行AB岗备份机制，有效保障A岗员工因休假、请假等原因离岗时，其职责由具备相应业务能力的B岗员工承接，确保业务连续性与稳定性。</w:t>
      </w:r>
    </w:p>
    <w:p>
      <w:pPr>
        <w:pStyle w:val="3"/>
        <w:bidi w:val="0"/>
      </w:pPr>
      <w:r>
        <w:rPr>
          <w:rFonts w:hint="default"/>
        </w:rPr>
        <w:t>人员</w:t>
      </w:r>
      <w:r>
        <w:rPr>
          <w:rFonts w:hint="eastAsia"/>
          <w:lang w:val="en-US" w:eastAsia="zh-CN"/>
        </w:rPr>
        <w:t>培训</w:t>
      </w:r>
      <w:r>
        <w:rPr>
          <w:rFonts w:hint="eastAsia"/>
          <w:lang w:eastAsia="zh-CN"/>
        </w:rPr>
        <w:t>管理情况总结</w:t>
      </w:r>
    </w:p>
    <w:p>
      <w:pPr>
        <w:pStyle w:val="a1"/>
        <w:bidi w:val="0"/>
        <w:rPr>
          <w:rFonts w:hint="default"/>
        </w:rPr>
      </w:pPr>
      <w:r>
        <w:rPr>
          <w:rFonts w:hint="default"/>
        </w:rPr>
        <w:t>自2025年初至今，按计划共组织开展ITSS相关培训</w:t>
      </w:r>
      <w:r>
        <w:rPr>
          <w:rFonts w:hint="eastAsia"/>
          <w:lang w:val="en-US" w:eastAsia="zh-CN"/>
        </w:rPr>
        <w:t>25</w:t>
      </w:r>
      <w:r>
        <w:rPr>
          <w:rFonts w:hint="default"/>
        </w:rPr>
        <w:t>场，涵盖ITSS标准宣贯、政务企业管理软件研发与运维、数据仓库与数据挖掘工具、过程管理、质量管理、事件管理及运维工具应用等内容。参训人员包括服务台、</w:t>
      </w:r>
      <w:r>
        <w:rPr>
          <w:rFonts w:hint="eastAsia"/>
          <w:lang w:val="en-US" w:eastAsia="zh-CN"/>
        </w:rPr>
        <w:t>运维实施</w:t>
      </w:r>
      <w:r>
        <w:rPr>
          <w:rFonts w:hint="default"/>
        </w:rPr>
        <w:t>工程师等岗位，累计达</w:t>
      </w:r>
      <w:r>
        <w:rPr>
          <w:rFonts w:hint="eastAsia"/>
          <w:lang w:val="en-US" w:eastAsia="zh-CN"/>
        </w:rPr>
        <w:t>200</w:t>
      </w:r>
      <w:r>
        <w:rPr>
          <w:rFonts w:hint="default"/>
        </w:rPr>
        <w:t>余人次，培训计划完成率100%，整体培训效果良好，达到设定目标。</w:t>
      </w:r>
    </w:p>
    <w:p>
      <w:pPr>
        <w:pStyle w:val="3"/>
        <w:bidi w:val="0"/>
      </w:pPr>
      <w:r>
        <w:rPr>
          <w:rFonts w:hint="default"/>
        </w:rPr>
        <w:t>人员</w:t>
      </w:r>
      <w:r>
        <w:rPr>
          <w:rFonts w:hint="eastAsia"/>
          <w:lang w:val="en-US" w:eastAsia="zh-CN"/>
        </w:rPr>
        <w:t>绩效考核</w:t>
      </w:r>
      <w:r>
        <w:rPr>
          <w:rFonts w:hint="eastAsia"/>
          <w:lang w:eastAsia="zh-CN"/>
        </w:rPr>
        <w:t>管理情况总结</w:t>
      </w:r>
    </w:p>
    <w:p>
      <w:pPr>
        <w:pStyle w:val="a1"/>
        <w:bidi w:val="0"/>
        <w:rPr>
          <w:rFonts w:hint="default"/>
        </w:rPr>
      </w:pPr>
      <w:r>
        <w:rPr>
          <w:rFonts w:hint="default"/>
        </w:rPr>
        <w:t>人力部依据公司绩效考核制度，每季度组织对各岗位人员实施考核。统计显示，公司员工绩效平均得分约93分，绩效考核合格率不低于95%，符合制度要求。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人员技能评价</w:t>
      </w:r>
      <w:r>
        <w:rPr>
          <w:rFonts w:hint="eastAsia"/>
          <w:lang w:eastAsia="zh-CN"/>
        </w:rPr>
        <w:t>管理情况总结</w:t>
      </w:r>
    </w:p>
    <w:p>
      <w:pPr>
        <w:pStyle w:val="a1"/>
        <w:bidi w:val="0"/>
        <w:rPr>
          <w:rFonts w:hint="default"/>
        </w:rPr>
      </w:pPr>
      <w:r>
        <w:rPr>
          <w:rFonts w:hint="default"/>
        </w:rPr>
        <w:t>人力部根据人员技能评价制度，每季度对公司各岗位人员开展技能评估。</w:t>
      </w:r>
      <w:r>
        <w:rPr>
          <w:rFonts w:hint="default"/>
        </w:rPr>
        <w:br/>
      </w:r>
      <w:r>
        <w:rPr>
          <w:rFonts w:hint="default"/>
        </w:rPr>
        <w:t>经汇总，当前员工技能评价平均得分约为91分，绩效等级评定为五级，人员能力合格率≥95%，能够有效支持服务目录实现与运维业务发展需要。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岗位结构</w:t>
      </w:r>
      <w:r>
        <w:rPr>
          <w:rFonts w:hint="eastAsia"/>
          <w:lang w:eastAsia="zh-CN"/>
        </w:rPr>
        <w:t>管理情况总结</w:t>
      </w:r>
    </w:p>
    <w:p>
      <w:pPr>
        <w:pStyle w:val="a1"/>
        <w:bidi w:val="0"/>
        <w:rPr>
          <w:rFonts w:hint="default"/>
        </w:rPr>
      </w:pPr>
      <w:r>
        <w:rPr>
          <w:rFonts w:hint="default"/>
        </w:rPr>
        <w:t>年初制定的组织架构与岗位设置计划已全面落地执行。</w:t>
      </w:r>
    </w:p>
    <w:p>
      <w:pPr>
        <w:pStyle w:val="a1"/>
        <w:bidi w:val="0"/>
        <w:rPr>
          <w:rFonts w:hint="default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资源管理情况总结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运维工具管理情况总结</w:t>
      </w:r>
    </w:p>
    <w:p>
      <w:pPr>
        <w:pStyle w:val="a1"/>
        <w:bidi w:val="0"/>
      </w:pPr>
      <w:r>
        <w:t>2025 年建立运维服务管理体系制度，各项管理初步实现通过运维工具进行管理。</w:t>
      </w:r>
    </w:p>
    <w:p>
      <w:pPr>
        <w:pStyle w:val="a1"/>
        <w:numPr>
          <w:ilvl w:val="0"/>
          <w:numId w:val="2"/>
        </w:numPr>
        <w:bidi w:val="0"/>
        <w:ind w:left="425" w:hanging="425" w:leftChars="0" w:firstLineChars="0"/>
      </w:pPr>
      <w:r>
        <w:t>加强了流程管理工具的改进工作：收集使用意见，对工具进行了部分改进，提高了工具的实用性；</w:t>
      </w:r>
    </w:p>
    <w:p>
      <w:pPr>
        <w:pStyle w:val="a1"/>
        <w:numPr>
          <w:ilvl w:val="0"/>
          <w:numId w:val="2"/>
        </w:numPr>
        <w:bidi w:val="0"/>
        <w:ind w:left="425" w:hanging="425" w:leftChars="0" w:firstLineChars="0"/>
      </w:pPr>
      <w:r>
        <w:t>加强了自动化管理工具的应用 ：对主要的运维工程师加强了自动化管理工具的培训，提升了操作能力。</w:t>
      </w:r>
    </w:p>
    <w:p>
      <w:pPr>
        <w:pStyle w:val="a1"/>
        <w:numPr>
          <w:ilvl w:val="0"/>
          <w:numId w:val="2"/>
        </w:numPr>
        <w:bidi w:val="0"/>
        <w:ind w:left="425" w:hanging="425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2025年6月对运维工具进行了一次自评估，达到设定目标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服务台管理情况总结</w:t>
      </w:r>
    </w:p>
    <w:p>
      <w:pPr>
        <w:pStyle w:val="a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台专员严格执行《服务台管理制度》和《服务台操作手册》，作为一线人员及时对客户疑问进行解答，极大的提高了客户满意度，经过满意度调查得知，截止2025年8月，客户满意度得分为97.4分，达到客户满意度指标要求的95.5分。</w:t>
      </w:r>
    </w:p>
    <w:p>
      <w:pPr>
        <w:pStyle w:val="a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服务台专员及时、主动对事件进行回访，据统计，截止到8月成功回访事件覆盖率达到80%，并且没有客户投诉。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备件库管理情况总结</w:t>
      </w:r>
    </w:p>
    <w:p>
      <w:pPr>
        <w:pStyle w:val="a1"/>
        <w:bidi w:val="0"/>
        <w:rPr>
          <w:rFonts w:hint="default"/>
          <w:lang w:val="en-US" w:eastAsia="zh-CN"/>
        </w:rPr>
      </w:pPr>
      <w:r>
        <w:t>2025年，公司持续加强备件库的规范化管理，将其作为保障运维服务连续性与响应效率的重要基础。通过完善库存管理制度、推行定期盘点机制及强化流程执行，本年度各季度备件库盘点准确率均保持在95%以上，达到既定质量目标，有效支持了一线运维工作的顺利开展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服务知识管理情况总结</w:t>
      </w:r>
    </w:p>
    <w:p>
      <w:pPr>
        <w:pStyle w:val="a1"/>
        <w:bidi w:val="0"/>
      </w:pPr>
      <w:r>
        <w:t>2025 年重点加强了知识库管理工作：</w:t>
      </w:r>
    </w:p>
    <w:p>
      <w:pPr>
        <w:pStyle w:val="a1"/>
        <w:numPr>
          <w:ilvl w:val="0"/>
          <w:numId w:val="3"/>
        </w:numPr>
        <w:bidi w:val="0"/>
        <w:ind w:left="425" w:hanging="425" w:leftChars="0" w:firstLineChars="0"/>
      </w:pPr>
      <w:r>
        <w:t>补充内容，提升质量：组织各个项目组对知识库的信息架构进行梳理，提升结构的合理性，对于通用知识，组织进行集中录入，规范入库管理和知识审核；知识分类覆盖率第一季度达到 96%，第二季度达到 95%达到目标≥90%的要求。</w:t>
      </w:r>
    </w:p>
    <w:p>
      <w:pPr>
        <w:pStyle w:val="a1"/>
        <w:numPr>
          <w:ilvl w:val="0"/>
          <w:numId w:val="3"/>
        </w:numPr>
        <w:bidi w:val="0"/>
        <w:ind w:left="425" w:hanging="425" w:leftChars="0" w:firstLineChars="0"/>
      </w:pPr>
      <w:r>
        <w:t>建立了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服务知识管理制度</w:t>
      </w:r>
      <w:r>
        <w:rPr>
          <w:rFonts w:hint="eastAsia"/>
          <w:lang w:eastAsia="zh-CN"/>
        </w:rPr>
        <w:t>》</w:t>
      </w:r>
      <w:r>
        <w:t>，并使用运维工具知识库管理平台，加强对知识库的管理工作；</w:t>
      </w:r>
    </w:p>
    <w:p>
      <w:pPr>
        <w:pStyle w:val="a1"/>
        <w:numPr>
          <w:ilvl w:val="0"/>
          <w:numId w:val="3"/>
        </w:numPr>
        <w:bidi w:val="0"/>
        <w:ind w:left="425" w:hanging="425" w:leftChars="0" w:firstLineChars="0"/>
      </w:pPr>
      <w:r>
        <w:t>增加了45 条知识，问题的解决办法也全部收录在知识库中，并对知识条目进行分类，以便员工查阅。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最终软件库管理情况总结</w:t>
      </w:r>
    </w:p>
    <w:p>
      <w:pPr>
        <w:pStyle w:val="a1"/>
        <w:bidi w:val="0"/>
      </w:pPr>
      <w:r>
        <w:t>2025 年重点加强了最终软件库管理工作：</w:t>
      </w:r>
    </w:p>
    <w:p>
      <w:pPr>
        <w:pStyle w:val="a1"/>
        <w:numPr>
          <w:ilvl w:val="0"/>
          <w:numId w:val="4"/>
        </w:numPr>
        <w:bidi w:val="0"/>
        <w:ind w:left="425" w:hanging="425" w:leftChars="0" w:firstLineChars="0"/>
      </w:pPr>
      <w:r>
        <w:t>规范了入库审核，运维部制定《软件入库审核标准》，明确功能测试、安全漏洞扫描、兼容性验证等必检项目，只有全部达标方可入库。</w:t>
      </w:r>
      <w:r>
        <w:rPr>
          <w:rFonts w:hint="eastAsia"/>
          <w:lang w:val="en-US" w:eastAsia="zh-CN"/>
        </w:rPr>
        <w:t>运维部经理审核</w:t>
      </w:r>
      <w:r>
        <w:t>，对入库软件进行全流程把关，留存测试报告及审核记录，确保可追溯。</w:t>
      </w:r>
    </w:p>
    <w:p>
      <w:pPr>
        <w:pStyle w:val="a1"/>
        <w:numPr>
          <w:ilvl w:val="0"/>
          <w:numId w:val="4"/>
        </w:numPr>
        <w:bidi w:val="0"/>
        <w:ind w:left="425" w:hanging="425" w:leftChars="0" w:firstLineChars="0"/>
      </w:pPr>
      <w:r>
        <w:t>软件库中软件的可用率达到了98%。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服务数据管理情况总结</w:t>
      </w:r>
    </w:p>
    <w:p>
      <w:pPr>
        <w:pStyle w:val="a1"/>
        <w:bidi w:val="0"/>
      </w:pPr>
      <w:r>
        <w:t>2025 年重点加强了服务数据管理工作：</w:t>
      </w:r>
    </w:p>
    <w:p>
      <w:pPr>
        <w:pStyle w:val="a1"/>
        <w:numPr>
          <w:ilvl w:val="0"/>
          <w:numId w:val="5"/>
        </w:numPr>
        <w:bidi w:val="0"/>
        <w:ind w:left="425" w:hanging="425" w:leftChars="0" w:firstLineChars="0"/>
      </w:pPr>
      <w:r>
        <w:t>规范采集源头：制定统一的《</w:t>
      </w:r>
      <w:r>
        <w:rPr>
          <w:rFonts w:hint="eastAsia"/>
          <w:lang w:val="en-US" w:eastAsia="zh-CN"/>
        </w:rPr>
        <w:t>服务数据管理制度</w:t>
      </w:r>
      <w:r>
        <w:t>》，明确监控数据、故障记录、工单处理等各类数据的录入格式、必填字段。</w:t>
      </w:r>
    </w:p>
    <w:p>
      <w:pPr>
        <w:pStyle w:val="a1"/>
        <w:numPr>
          <w:ilvl w:val="0"/>
          <w:numId w:val="5"/>
        </w:numPr>
        <w:bidi w:val="0"/>
        <w:ind w:left="425" w:hanging="425" w:leftChars="0" w:firstLineChars="0"/>
      </w:pPr>
      <w:r>
        <w:t>对运维</w:t>
      </w:r>
      <w:r>
        <w:rPr>
          <w:rFonts w:hint="eastAsia"/>
          <w:lang w:val="en-US" w:eastAsia="zh-CN"/>
        </w:rPr>
        <w:t>服务</w:t>
      </w:r>
      <w:r>
        <w:t>人员开展了专项培训，结合实际案例讲解标准要求，考核合格后方可参与数据采集，从源头减少错误。</w:t>
      </w:r>
      <w:r>
        <w:rPr>
          <w:rFonts w:hint="eastAsia"/>
          <w:lang w:val="en-US" w:eastAsia="zh-CN"/>
        </w:rPr>
        <w:t>截止</w:t>
      </w:r>
      <w:r>
        <w:t>2025年</w:t>
      </w:r>
      <w:r>
        <w:rPr>
          <w:rFonts w:hint="eastAsia"/>
          <w:lang w:val="en-US" w:eastAsia="zh-CN"/>
        </w:rPr>
        <w:t>8月</w:t>
      </w:r>
      <w:r>
        <w:t>服务数据的准确率达到 99%。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技术管理情况总结</w:t>
      </w:r>
    </w:p>
    <w:p>
      <w:pPr>
        <w:spacing w:before="106"/>
        <w:jc w:val="center"/>
        <w:rPr>
          <w:rFonts w:eastAsia="宋体" w:hint="default"/>
          <w:lang w:val="en-US" w:eastAsia="zh-CN"/>
        </w:rPr>
      </w:pPr>
      <w:r>
        <w:rPr>
          <w:rFonts w:eastAsia="宋体" w:hint="eastAsia"/>
          <w:lang w:val="en-US" w:eastAsia="zh-CN"/>
        </w:rPr>
        <w:t xml:space="preserve">表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STYLEREF "柴_标题1" \n \* Charformat </w:instrText>
      </w:r>
      <w:r>
        <w:rPr>
          <w:rFonts w:eastAsia="宋体" w:hint="eastAsia"/>
          <w:lang w:val="en-US" w:eastAsia="zh-CN"/>
        </w:rPr>
        <w:fldChar w:fldCharType="separate"/>
      </w:r>
      <w:r>
        <w:rPr>
          <w:rFonts w:eastAsia="宋体" w:hint="eastAsia"/>
          <w:lang w:val="en-US" w:eastAsia="zh-CN"/>
        </w:rPr>
        <w:t>2</w:t>
      </w:r>
      <w:r>
        <w:rPr>
          <w:rFonts w:eastAsia="宋体" w:hint="eastAsia"/>
          <w:lang w:val="en-US" w:eastAsia="zh-CN"/>
        </w:rPr>
        <w:fldChar w:fldCharType="end"/>
      </w:r>
      <w:r>
        <w:rPr>
          <w:rFonts w:eastAsia="宋体" w:hint="eastAsia"/>
          <w:lang w:val="en-US" w:eastAsia="zh-CN"/>
        </w:rPr>
        <w:t xml:space="preserve">-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SEQ 表 \* ARABIC  \s 1 </w:instrText>
      </w:r>
      <w:r>
        <w:rPr>
          <w:rFonts w:eastAsia="宋体" w:hint="eastAsia"/>
          <w:lang w:val="en-US" w:eastAsia="zh-CN"/>
        </w:rPr>
        <w:fldChar w:fldCharType="separate"/>
      </w:r>
      <w:r>
        <w:rPr>
          <w:rFonts w:eastAsia="宋体" w:hint="eastAsia"/>
          <w:lang w:val="en-US" w:eastAsia="zh-CN"/>
        </w:rPr>
        <w:t>1</w:t>
      </w:r>
      <w:r>
        <w:rPr>
          <w:rFonts w:eastAsia="宋体" w:hint="eastAsia"/>
          <w:lang w:val="en-US" w:eastAsia="zh-CN"/>
        </w:rPr>
        <w:fldChar w:fldCharType="end"/>
      </w:r>
      <w:r>
        <w:rPr>
          <w:rFonts w:eastAsia="宋体" w:hint="eastAsia"/>
          <w:lang w:val="en-US" w:eastAsia="zh-CN"/>
        </w:rPr>
        <w:t xml:space="preserve"> 禅道项目管理系统升级进度</w:t>
      </w:r>
    </w:p>
    <w:tbl>
      <w:tblPr>
        <w:tblStyle w:val="TableGrid"/>
        <w:tblW w:w="850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1930"/>
        <w:gridCol w:w="3086"/>
        <w:gridCol w:w="1417"/>
        <w:gridCol w:w="1417"/>
      </w:tblGrid>
      <w:tr>
        <w:tblPrEx>
          <w:tblW w:w="8504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2325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任务阶段</w:t>
            </w:r>
          </w:p>
        </w:tc>
        <w:tc>
          <w:tcPr>
            <w:tcW w:w="3749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任务内容</w:t>
            </w:r>
          </w:p>
        </w:tc>
        <w:tc>
          <w:tcPr>
            <w:tcW w:w="1694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计划时间</w:t>
            </w:r>
          </w:p>
        </w:tc>
        <w:tc>
          <w:tcPr>
            <w:tcW w:w="1694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完成情况</w:t>
            </w:r>
          </w:p>
        </w:tc>
      </w:tr>
      <w:tr>
        <w:tblPrEx>
          <w:tblW w:w="850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pStyle w:val="a1"/>
              <w:widowControl w:val="0"/>
              <w:numPr>
                <w:ilvl w:val="0"/>
                <w:numId w:val="6"/>
              </w:numPr>
              <w:ind w:left="425" w:hanging="425" w:leftChars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</w:tcPr>
          <w:p>
            <w:pPr>
              <w:pStyle w:val="a1"/>
              <w:widowControl w:val="0"/>
              <w:ind w:left="0" w:firstLine="0" w:leftChars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项目规划</w:t>
            </w:r>
          </w:p>
        </w:tc>
        <w:tc>
          <w:tcPr>
            <w:tcW w:w="3749" w:type="dxa"/>
          </w:tcPr>
          <w:p>
            <w:pPr>
              <w:widowControl w:val="0"/>
              <w:numPr>
                <w:ilvl w:val="0"/>
                <w:numId w:val="7"/>
              </w:numPr>
              <w:ind w:left="425" w:hanging="425" w:leftChars="0" w:firstLineChars="0"/>
            </w:pPr>
            <w:r>
              <w:t>项目相关人员沟通，进行相关技术调研及预演；</w:t>
            </w:r>
          </w:p>
          <w:p>
            <w:pPr>
              <w:widowControl w:val="0"/>
              <w:numPr>
                <w:ilvl w:val="0"/>
                <w:numId w:val="7"/>
              </w:numPr>
              <w:ind w:left="425" w:hanging="425" w:leftChars="0" w:firstLineChars="0"/>
              <w:rPr>
                <w:rFonts w:hint="eastAsia"/>
                <w:lang w:val="en-US" w:eastAsia="zh-CN"/>
              </w:rPr>
            </w:pPr>
            <w:r>
              <w:t>编写项目规划</w:t>
            </w:r>
          </w:p>
        </w:tc>
        <w:tc>
          <w:tcPr>
            <w:tcW w:w="1694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2025年1月</w:t>
            </w:r>
          </w:p>
        </w:tc>
        <w:tc>
          <w:tcPr>
            <w:tcW w:w="1694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>
        <w:tblPrEx>
          <w:tblW w:w="850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pStyle w:val="a1"/>
              <w:widowControl w:val="0"/>
              <w:numPr>
                <w:ilvl w:val="0"/>
                <w:numId w:val="6"/>
              </w:numPr>
              <w:ind w:left="425" w:hanging="425" w:leftChars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</w:tcPr>
          <w:p>
            <w:pPr>
              <w:pStyle w:val="a1"/>
              <w:widowControl w:val="0"/>
              <w:ind w:left="0" w:firstLine="0" w:leftChars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需求分析</w:t>
            </w:r>
          </w:p>
        </w:tc>
        <w:tc>
          <w:tcPr>
            <w:tcW w:w="3749" w:type="dxa"/>
          </w:tcPr>
          <w:p>
            <w:pPr>
              <w:widowControl w:val="0"/>
              <w:numPr>
                <w:ilvl w:val="0"/>
                <w:numId w:val="8"/>
              </w:numPr>
              <w:ind w:left="425" w:hanging="425" w:leftChars="0" w:firstLineChars="0"/>
              <w:rPr>
                <w:rFonts w:hint="eastAsia"/>
                <w:lang w:val="en-US" w:eastAsia="zh-CN"/>
              </w:rPr>
            </w:pPr>
            <w:r>
              <w:t>调研用户需求及相关行业产品，形成优化需求说明</w:t>
            </w:r>
          </w:p>
        </w:tc>
        <w:tc>
          <w:tcPr>
            <w:tcW w:w="1694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2025年1月</w:t>
            </w:r>
          </w:p>
        </w:tc>
        <w:tc>
          <w:tcPr>
            <w:tcW w:w="1694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>
        <w:tblPrEx>
          <w:tblW w:w="850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pStyle w:val="a1"/>
              <w:widowControl w:val="0"/>
              <w:numPr>
                <w:ilvl w:val="0"/>
                <w:numId w:val="6"/>
              </w:numPr>
              <w:ind w:left="425" w:hanging="425" w:leftChars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</w:tcPr>
          <w:p>
            <w:pPr>
              <w:pStyle w:val="a1"/>
              <w:widowControl w:val="0"/>
              <w:ind w:left="0" w:firstLine="0" w:leftChars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项目筹划、设计</w:t>
            </w:r>
          </w:p>
        </w:tc>
        <w:tc>
          <w:tcPr>
            <w:tcW w:w="3749" w:type="dxa"/>
          </w:tcPr>
          <w:p>
            <w:pPr>
              <w:widowControl w:val="0"/>
              <w:numPr>
                <w:ilvl w:val="0"/>
                <w:numId w:val="9"/>
              </w:numPr>
              <w:ind w:left="425" w:hanging="425" w:leftChars="0" w:firstLineChars="0"/>
            </w:pPr>
            <w:r>
              <w:t>组建小组；</w:t>
            </w:r>
          </w:p>
          <w:p>
            <w:pPr>
              <w:widowControl w:val="0"/>
              <w:numPr>
                <w:ilvl w:val="0"/>
                <w:numId w:val="9"/>
              </w:numPr>
              <w:ind w:left="425" w:hanging="425" w:leftChars="0" w:firstLineChars="0"/>
            </w:pPr>
            <w:r>
              <w:t>完成系统设计方案编制；</w:t>
            </w:r>
          </w:p>
          <w:p>
            <w:pPr>
              <w:widowControl w:val="0"/>
              <w:numPr>
                <w:ilvl w:val="0"/>
                <w:numId w:val="9"/>
              </w:numPr>
              <w:ind w:left="425" w:hanging="425" w:leftChars="0" w:firstLineChars="0"/>
              <w:rPr>
                <w:rFonts w:hint="eastAsia"/>
                <w:lang w:val="en-US" w:eastAsia="zh-CN"/>
              </w:rPr>
            </w:pPr>
            <w:r>
              <w:t>规划评审，评审通过后进行立项；</w:t>
            </w:r>
          </w:p>
        </w:tc>
        <w:tc>
          <w:tcPr>
            <w:tcW w:w="1694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2025年2月</w:t>
            </w:r>
          </w:p>
        </w:tc>
        <w:tc>
          <w:tcPr>
            <w:tcW w:w="1694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>
        <w:tblPrEx>
          <w:tblW w:w="850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pStyle w:val="a1"/>
              <w:widowControl w:val="0"/>
              <w:numPr>
                <w:ilvl w:val="0"/>
                <w:numId w:val="6"/>
              </w:numPr>
              <w:ind w:left="425" w:hanging="425" w:leftChars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  <w:vMerge w:val="restart"/>
          </w:tcPr>
          <w:p>
            <w:pPr>
              <w:pStyle w:val="a1"/>
              <w:widowControl w:val="0"/>
              <w:ind w:left="0" w:firstLine="0" w:leftChars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开发、测试</w:t>
            </w:r>
          </w:p>
        </w:tc>
        <w:tc>
          <w:tcPr>
            <w:tcW w:w="3749" w:type="dxa"/>
          </w:tcPr>
          <w:p>
            <w:pPr>
              <w:widowControl w:val="0"/>
              <w:numPr>
                <w:ilvl w:val="0"/>
                <w:numId w:val="10"/>
              </w:numPr>
              <w:ind w:left="425" w:hanging="425" w:leftChars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完善新建用例功能，支持导入测试用例，用例支持选择用例类型</w:t>
            </w:r>
          </w:p>
        </w:tc>
        <w:tc>
          <w:tcPr>
            <w:tcW w:w="1694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2025年3月</w:t>
            </w:r>
          </w:p>
        </w:tc>
        <w:tc>
          <w:tcPr>
            <w:tcW w:w="1694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>
        <w:tblPrEx>
          <w:tblW w:w="850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pStyle w:val="a1"/>
              <w:widowControl w:val="0"/>
              <w:numPr>
                <w:ilvl w:val="0"/>
                <w:numId w:val="6"/>
              </w:numPr>
              <w:ind w:left="425" w:hanging="425" w:leftChars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  <w:vMerge/>
          </w:tcPr>
          <w:p>
            <w:pPr>
              <w:pStyle w:val="a1"/>
              <w:widowControl w:val="0"/>
              <w:ind w:left="0" w:firstLine="0" w:leftChars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49" w:type="dxa"/>
          </w:tcPr>
          <w:p>
            <w:pPr>
              <w:widowControl w:val="0"/>
              <w:numPr>
                <w:ilvl w:val="0"/>
                <w:numId w:val="10"/>
              </w:numPr>
              <w:ind w:left="425" w:hanging="425" w:leftChars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完善执行用例功能，可将用例转为BUG</w:t>
            </w:r>
          </w:p>
        </w:tc>
        <w:tc>
          <w:tcPr>
            <w:tcW w:w="1694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2025年4月</w:t>
            </w:r>
          </w:p>
        </w:tc>
        <w:tc>
          <w:tcPr>
            <w:tcW w:w="1694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>
        <w:tblPrEx>
          <w:tblW w:w="850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pStyle w:val="a1"/>
              <w:widowControl w:val="0"/>
              <w:numPr>
                <w:ilvl w:val="0"/>
                <w:numId w:val="6"/>
              </w:numPr>
              <w:ind w:left="425" w:hanging="425" w:leftChars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  <w:vMerge/>
          </w:tcPr>
          <w:p>
            <w:pPr>
              <w:pStyle w:val="a1"/>
              <w:widowControl w:val="0"/>
              <w:ind w:left="0" w:firstLine="0" w:leftChars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49" w:type="dxa"/>
          </w:tcPr>
          <w:p>
            <w:pPr>
              <w:widowControl w:val="0"/>
              <w:numPr>
                <w:ilvl w:val="0"/>
                <w:numId w:val="10"/>
              </w:numPr>
              <w:ind w:left="425" w:hanging="425" w:leftChars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完善提交BUG模块，可批量导入BUG,同时支持导出BUG</w:t>
            </w:r>
          </w:p>
        </w:tc>
        <w:tc>
          <w:tcPr>
            <w:tcW w:w="1694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2025年5月</w:t>
            </w:r>
          </w:p>
        </w:tc>
        <w:tc>
          <w:tcPr>
            <w:tcW w:w="1694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>
        <w:tblPrEx>
          <w:tblW w:w="850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pStyle w:val="a1"/>
              <w:widowControl w:val="0"/>
              <w:numPr>
                <w:ilvl w:val="0"/>
                <w:numId w:val="6"/>
              </w:numPr>
              <w:ind w:left="425" w:hanging="425" w:leftChars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  <w:vMerge/>
          </w:tcPr>
          <w:p>
            <w:pPr>
              <w:pStyle w:val="a1"/>
              <w:widowControl w:val="0"/>
              <w:ind w:left="0" w:firstLine="0" w:leftChars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49" w:type="dxa"/>
          </w:tcPr>
          <w:p>
            <w:pPr>
              <w:widowControl w:val="0"/>
              <w:numPr>
                <w:ilvl w:val="0"/>
                <w:numId w:val="10"/>
              </w:numPr>
              <w:ind w:left="425" w:hanging="425" w:leftChars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BUG导出功能支持导出字段人工选择，</w:t>
            </w:r>
          </w:p>
        </w:tc>
        <w:tc>
          <w:tcPr>
            <w:tcW w:w="1694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2025年6月</w:t>
            </w:r>
          </w:p>
        </w:tc>
        <w:tc>
          <w:tcPr>
            <w:tcW w:w="1694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>
        <w:tblPrEx>
          <w:tblW w:w="850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pStyle w:val="a1"/>
              <w:widowControl w:val="0"/>
              <w:numPr>
                <w:ilvl w:val="0"/>
                <w:numId w:val="6"/>
              </w:numPr>
              <w:ind w:left="425" w:hanging="425" w:leftChars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  <w:vMerge/>
          </w:tcPr>
          <w:p>
            <w:pPr>
              <w:pStyle w:val="a1"/>
              <w:widowControl w:val="0"/>
              <w:ind w:left="0" w:firstLine="0" w:leftChars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49" w:type="dxa"/>
          </w:tcPr>
          <w:p>
            <w:pPr>
              <w:widowControl w:val="0"/>
              <w:numPr>
                <w:ilvl w:val="0"/>
                <w:numId w:val="10"/>
              </w:numPr>
              <w:ind w:left="425" w:hanging="425" w:leftChars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BUG报告面板查看</w:t>
            </w:r>
          </w:p>
        </w:tc>
        <w:tc>
          <w:tcPr>
            <w:tcW w:w="1694" w:type="dxa"/>
          </w:tcPr>
          <w:p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2025年7月</w:t>
            </w:r>
          </w:p>
        </w:tc>
        <w:tc>
          <w:tcPr>
            <w:tcW w:w="1694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>
        <w:tblPrEx>
          <w:tblW w:w="850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/>
        </w:trPr>
        <w:tc>
          <w:tcPr>
            <w:tcW w:w="754" w:type="dxa"/>
          </w:tcPr>
          <w:p>
            <w:pPr>
              <w:pStyle w:val="a1"/>
              <w:widowControl w:val="0"/>
              <w:numPr>
                <w:ilvl w:val="0"/>
                <w:numId w:val="6"/>
              </w:numPr>
              <w:ind w:left="425" w:hanging="425" w:leftChars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</w:tcPr>
          <w:p>
            <w:pPr>
              <w:pStyle w:val="a1"/>
              <w:widowControl w:val="0"/>
              <w:ind w:left="0" w:firstLine="0" w:leftChars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上线试运行</w:t>
            </w:r>
          </w:p>
        </w:tc>
        <w:tc>
          <w:tcPr>
            <w:tcW w:w="3749" w:type="dxa"/>
          </w:tcPr>
          <w:p>
            <w:pPr>
              <w:widowControl w:val="0"/>
              <w:numPr>
                <w:ilvl w:val="0"/>
                <w:numId w:val="10"/>
              </w:numPr>
              <w:ind w:left="425" w:hanging="425" w:leftChars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测试完成后，首先在运维部试运行</w:t>
            </w:r>
          </w:p>
        </w:tc>
        <w:tc>
          <w:tcPr>
            <w:tcW w:w="1694" w:type="dxa"/>
          </w:tcPr>
          <w:p>
            <w:pPr>
              <w:widowControl w:val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2025年8月</w:t>
            </w:r>
          </w:p>
        </w:tc>
        <w:tc>
          <w:tcPr>
            <w:tcW w:w="1694" w:type="dxa"/>
          </w:tcPr>
          <w:p>
            <w:pPr>
              <w:widowControl w:val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>
        <w:tblPrEx>
          <w:tblW w:w="850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/>
        </w:trPr>
        <w:tc>
          <w:tcPr>
            <w:tcW w:w="754" w:type="dxa"/>
          </w:tcPr>
          <w:p>
            <w:pPr>
              <w:pStyle w:val="a1"/>
              <w:widowControl w:val="0"/>
              <w:numPr>
                <w:ilvl w:val="0"/>
                <w:numId w:val="6"/>
              </w:numPr>
              <w:ind w:left="425" w:hanging="425" w:leftChars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</w:tcPr>
          <w:p>
            <w:pPr>
              <w:pStyle w:val="a1"/>
              <w:widowControl w:val="0"/>
              <w:ind w:left="0" w:firstLine="0" w:leftChars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BUG修复功能完善</w:t>
            </w:r>
          </w:p>
        </w:tc>
        <w:tc>
          <w:tcPr>
            <w:tcW w:w="3749" w:type="dxa"/>
          </w:tcPr>
          <w:p>
            <w:pPr>
              <w:widowControl w:val="0"/>
              <w:numPr>
                <w:ilvl w:val="0"/>
                <w:numId w:val="10"/>
              </w:numPr>
              <w:ind w:left="425" w:hanging="425" w:leftChars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修复使用过程中发现的BUG</w:t>
            </w:r>
          </w:p>
        </w:tc>
        <w:tc>
          <w:tcPr>
            <w:tcW w:w="1694" w:type="dxa"/>
          </w:tcPr>
          <w:p>
            <w:pPr>
              <w:widowControl w:val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2025年9月</w:t>
            </w:r>
          </w:p>
        </w:tc>
        <w:tc>
          <w:tcPr>
            <w:tcW w:w="1694" w:type="dxa"/>
          </w:tcPr>
          <w:p>
            <w:pPr>
              <w:widowControl w:val="0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W w:w="850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pStyle w:val="a1"/>
              <w:widowControl w:val="0"/>
              <w:numPr>
                <w:ilvl w:val="0"/>
                <w:numId w:val="6"/>
              </w:numPr>
              <w:ind w:left="425" w:hanging="425" w:leftChars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25" w:type="dxa"/>
          </w:tcPr>
          <w:p>
            <w:pPr>
              <w:pStyle w:val="a1"/>
              <w:widowControl w:val="0"/>
              <w:ind w:left="0" w:firstLine="0" w:leftChars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回归测试正式上线</w:t>
            </w:r>
          </w:p>
        </w:tc>
        <w:tc>
          <w:tcPr>
            <w:tcW w:w="3749" w:type="dxa"/>
          </w:tcPr>
          <w:p>
            <w:pPr>
              <w:widowControl w:val="0"/>
              <w:numPr>
                <w:ilvl w:val="0"/>
                <w:numId w:val="10"/>
              </w:numPr>
              <w:ind w:left="425" w:hanging="425" w:leftChars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BUG修复并验证后正式上线</w:t>
            </w:r>
          </w:p>
        </w:tc>
        <w:tc>
          <w:tcPr>
            <w:tcW w:w="1694" w:type="dxa"/>
          </w:tcPr>
          <w:p>
            <w:pPr>
              <w:widowControl w:val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2025年10月</w:t>
            </w:r>
          </w:p>
        </w:tc>
        <w:tc>
          <w:tcPr>
            <w:tcW w:w="1694" w:type="dxa"/>
          </w:tcPr>
          <w:p>
            <w:pPr>
              <w:widowControl w:val="0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a1"/>
        <w:bidi w:val="0"/>
        <w:rPr>
          <w:rFonts w:hint="eastAsia"/>
          <w:lang w:eastAsia="zh-CN"/>
        </w:rPr>
      </w:pPr>
      <w:r>
        <w:t>截止2025年</w:t>
      </w:r>
      <w:r>
        <w:rPr>
          <w:rFonts w:hint="eastAsia"/>
          <w:lang w:val="en-US" w:eastAsia="zh-CN"/>
        </w:rPr>
        <w:t>8</w:t>
      </w:r>
      <w:r>
        <w:t>月</w:t>
      </w:r>
      <w:r>
        <w:rPr>
          <w:rFonts w:hint="eastAsia"/>
          <w:lang w:val="en-US" w:eastAsia="zh-CN"/>
        </w:rPr>
        <w:t>28</w:t>
      </w:r>
      <w:r>
        <w:t>日，</w:t>
      </w:r>
      <w:r>
        <w:rPr>
          <w:rFonts w:hint="eastAsia"/>
          <w:lang w:eastAsia="zh-CN"/>
        </w:rPr>
        <w:t>研发部</w:t>
      </w:r>
      <w:r>
        <w:t>和运维部按时完成了工作计划，</w:t>
      </w:r>
      <w:r>
        <w:rPr>
          <w:rFonts w:hint="eastAsia"/>
          <w:lang w:val="en-US" w:eastAsia="zh-CN"/>
        </w:rPr>
        <w:t>禅道项目管理系统升级进度正常。</w:t>
      </w:r>
      <w:r>
        <w:t>技术研发年度规划预算为</w:t>
      </w:r>
      <w:r>
        <w:rPr>
          <w:rFonts w:hint="eastAsia"/>
          <w:lang w:val="en-US" w:eastAsia="zh-CN"/>
        </w:rPr>
        <w:t>27</w:t>
      </w:r>
      <w:r>
        <w:t>万元，到目前预算总体执行情况良好，实际使用研发资金</w:t>
      </w:r>
      <w:r>
        <w:rPr>
          <w:rFonts w:hint="eastAsia"/>
          <w:lang w:val="en-US" w:eastAsia="zh-CN"/>
        </w:rPr>
        <w:t>23.2</w:t>
      </w:r>
      <w:r>
        <w:t>万元，</w:t>
      </w:r>
      <w:r>
        <w:rPr>
          <w:rFonts w:hint="eastAsia"/>
          <w:lang w:val="en-US" w:eastAsia="zh-CN"/>
        </w:rPr>
        <w:t>鉴于后期是BUG修复阶段，总体费用降低，认为</w:t>
      </w:r>
      <w:r>
        <w:t>满足研发资金投入率≥85%的要求。无预算超支情况</w:t>
      </w:r>
      <w:r>
        <w:rPr>
          <w:rFonts w:hint="eastAsia"/>
          <w:lang w:eastAsia="zh-CN"/>
        </w:rPr>
        <w:t>。</w:t>
      </w:r>
    </w:p>
    <w:p>
      <w:pPr>
        <w:pStyle w:val="a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研发成果总结：禅道项目管理系统研发进度正常，研发手册3本。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过程挂你情况总结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过程框架设计管理情况总结</w:t>
      </w:r>
    </w:p>
    <w:p>
      <w:pPr>
        <w:pStyle w:val="a1"/>
        <w:bidi w:val="0"/>
      </w:pPr>
      <w:r>
        <w:rPr>
          <w:rFonts w:hint="eastAsia"/>
          <w:lang w:val="en-US" w:eastAsia="zh-CN"/>
        </w:rPr>
        <w:t>截止2025年8月</w:t>
      </w:r>
      <w:r>
        <w:t>过程框架设计管理主要完成了以下工作：</w:t>
      </w:r>
    </w:p>
    <w:p>
      <w:pPr>
        <w:pStyle w:val="a1"/>
        <w:numPr>
          <w:ilvl w:val="0"/>
          <w:numId w:val="11"/>
        </w:numPr>
        <w:bidi w:val="0"/>
        <w:ind w:left="425" w:hanging="425" w:leftChars="0" w:firstLineChars="0"/>
        <w:rPr>
          <w:rFonts w:hint="eastAsia"/>
          <w:lang w:val="en-US" w:eastAsia="zh-CN"/>
        </w:rPr>
      </w:pPr>
      <w:r>
        <w:t>完成过程框架设计管理框架优化工作：根据调研结果，每季度对过程框架进行优化调整。所有项目过程框架设计与服务需求的匹配率均为≥85% 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服务级别管理情况总结</w:t>
      </w:r>
    </w:p>
    <w:p>
      <w:pPr>
        <w:pStyle w:val="a1"/>
        <w:bidi w:val="0"/>
      </w:pPr>
      <w:r>
        <w:rPr>
          <w:rFonts w:hint="eastAsia"/>
          <w:lang w:val="en-US" w:eastAsia="zh-CN"/>
        </w:rPr>
        <w:t>截止2025年8月</w:t>
      </w:r>
      <w:r>
        <w:t>服务级别管理主要完成了以下工作：</w:t>
      </w:r>
    </w:p>
    <w:p>
      <w:pPr>
        <w:pStyle w:val="a1"/>
        <w:numPr>
          <w:ilvl w:val="0"/>
          <w:numId w:val="12"/>
        </w:numPr>
        <w:bidi w:val="0"/>
        <w:ind w:left="425" w:hanging="425" w:leftChars="0" w:firstLineChars="0"/>
      </w:pPr>
      <w:r>
        <w:t>服务级别管理工作达标。所有项目的服务级别达成率均为100%。SLA 达成情况按时监控率为100%，未达成指标分析并制定改进措施比率100%，运维服务目录通过会签审批；</w:t>
      </w:r>
    </w:p>
    <w:p>
      <w:pPr>
        <w:pStyle w:val="a1"/>
        <w:numPr>
          <w:ilvl w:val="0"/>
          <w:numId w:val="12"/>
        </w:numPr>
        <w:bidi w:val="0"/>
        <w:ind w:left="425" w:hanging="425" w:leftChars="0" w:firstLineChars="0"/>
      </w:pPr>
      <w:r>
        <w:t>服务级别协议的监测工作：各个项目在运维工作中，对涉及影响服务级别指标的事件进行每个月的跟踪并记录；</w:t>
      </w:r>
    </w:p>
    <w:p>
      <w:pPr>
        <w:pStyle w:val="a1"/>
        <w:numPr>
          <w:ilvl w:val="0"/>
          <w:numId w:val="12"/>
        </w:numPr>
        <w:bidi w:val="0"/>
        <w:ind w:left="425" w:hanging="425" w:leftChars="0" w:firstLineChars="0"/>
      </w:pPr>
      <w:r>
        <w:t>服务级别协议的量化工作：部分项目组的服务级别协议条款还存在着不容易量化的问题，促成甲方修改了部分服务级别协议，使服务级别协议的达成情况方便测量与记录。</w:t>
      </w:r>
    </w:p>
    <w:p>
      <w:pPr>
        <w:pStyle w:val="a1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服务报告管理情况总结</w:t>
      </w:r>
    </w:p>
    <w:p>
      <w:pPr>
        <w:pStyle w:val="a1"/>
        <w:bidi w:val="0"/>
      </w:pPr>
      <w:r>
        <w:rPr>
          <w:rFonts w:hint="eastAsia"/>
          <w:lang w:val="en-US" w:eastAsia="zh-CN"/>
        </w:rPr>
        <w:t>截止</w:t>
      </w:r>
      <w:r>
        <w:t>2025年8月，服务报告管理工作顺利完成，主要完成以下工作：</w:t>
      </w:r>
    </w:p>
    <w:p>
      <w:pPr>
        <w:pStyle w:val="a1"/>
        <w:numPr>
          <w:ilvl w:val="0"/>
          <w:numId w:val="13"/>
        </w:numPr>
        <w:bidi w:val="0"/>
        <w:ind w:left="425" w:hanging="425" w:leftChars="0" w:firstLineChars="0"/>
        <w:rPr>
          <w:rFonts w:hint="default"/>
        </w:rPr>
      </w:pPr>
      <w:r>
        <w:rPr>
          <w:rFonts w:hint="default"/>
        </w:rPr>
        <w:t>服务报告管理工作全面达标，服务报告按时交付率与审核率均达到100%；</w:t>
      </w:r>
    </w:p>
    <w:p>
      <w:pPr>
        <w:pStyle w:val="a1"/>
        <w:numPr>
          <w:ilvl w:val="0"/>
          <w:numId w:val="13"/>
        </w:numPr>
        <w:bidi w:val="0"/>
        <w:ind w:left="425" w:hanging="425" w:leftChars="0" w:firstLineChars="0"/>
        <w:rPr>
          <w:rFonts w:hint="default"/>
        </w:rPr>
      </w:pPr>
      <w:r>
        <w:rPr>
          <w:rFonts w:hint="default"/>
        </w:rPr>
        <w:t>进一步加强服务事件的统计与分析工作，针对各运维对象的事件与性能状况开展系统化统计，注重对数据的多维度分析和解读，并提出改进建议，摒弃简单罗列数据的流水账式记录方式；</w:t>
      </w:r>
    </w:p>
    <w:p>
      <w:pPr>
        <w:pStyle w:val="a1"/>
        <w:numPr>
          <w:ilvl w:val="0"/>
          <w:numId w:val="13"/>
        </w:numPr>
        <w:bidi w:val="0"/>
        <w:ind w:left="425" w:hanging="425" w:leftChars="0" w:firstLineChars="0"/>
      </w:pPr>
      <w:r>
        <w:rPr>
          <w:rFonts w:hint="default"/>
        </w:rPr>
        <w:t>在当月服务报告中增设项目运行整体综述模块，对运维工作情况作出系统总结，重点归纳典型问题与风险，并对该月项目运行状态予以结论性评价。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事件管理情况总结</w:t>
      </w:r>
    </w:p>
    <w:p>
      <w:pPr>
        <w:pStyle w:val="a1"/>
        <w:bidi w:val="0"/>
      </w:pPr>
      <w:r>
        <w:rPr>
          <w:rFonts w:hint="eastAsia"/>
          <w:lang w:val="en-US" w:eastAsia="zh-CN"/>
        </w:rPr>
        <w:t>截止</w:t>
      </w:r>
      <w:r>
        <w:rPr>
          <w:rFonts w:hint="default"/>
        </w:rPr>
        <w:t>2025年8月，事件管理工作达成预期目标，具体完成情况如下：</w:t>
      </w:r>
    </w:p>
    <w:p>
      <w:pPr>
        <w:pStyle w:val="a1"/>
        <w:numPr>
          <w:ilvl w:val="0"/>
          <w:numId w:val="14"/>
        </w:numPr>
        <w:bidi w:val="0"/>
        <w:ind w:left="425" w:hanging="425" w:leftChars="0" w:firstLineChars="0"/>
        <w:rPr>
          <w:rFonts w:hint="default"/>
        </w:rPr>
      </w:pPr>
      <w:r>
        <w:rPr>
          <w:rFonts w:hint="default"/>
        </w:rPr>
        <w:t>共处理事件53起，事件及时响应率≥95%，一线解决率≥15%，一次现场解决率≥80%。</w:t>
      </w:r>
    </w:p>
    <w:p>
      <w:pPr>
        <w:pStyle w:val="a1"/>
        <w:numPr>
          <w:ilvl w:val="0"/>
          <w:numId w:val="14"/>
        </w:numPr>
        <w:bidi w:val="0"/>
        <w:ind w:left="425" w:hanging="425" w:leftChars="0" w:firstLineChars="0"/>
        <w:rPr>
          <w:rFonts w:hint="default"/>
        </w:rPr>
      </w:pPr>
      <w:r>
        <w:rPr>
          <w:rFonts w:hint="default"/>
        </w:rPr>
        <w:t>进一步加强事件记录的深度分析，开展多维度、结构化的事件数据分析工作，为运维决策和业务支持提供有效数据支撑。</w:t>
      </w:r>
    </w:p>
    <w:p>
      <w:pPr>
        <w:pStyle w:val="a1"/>
        <w:numPr>
          <w:ilvl w:val="0"/>
          <w:numId w:val="14"/>
        </w:numPr>
        <w:bidi w:val="0"/>
        <w:ind w:left="425" w:hanging="425" w:leftChars="0" w:firstLineChars="0"/>
        <w:rPr>
          <w:rFonts w:hint="default"/>
        </w:rPr>
      </w:pPr>
      <w:r>
        <w:rPr>
          <w:rFonts w:hint="default"/>
        </w:rPr>
        <w:t>持续推进事件单分类模式优化，完善事件统计维度设计，提升事件数据统计的灵活性与分析粒度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问题管理情况总结</w:t>
      </w:r>
    </w:p>
    <w:p>
      <w:pPr>
        <w:pStyle w:val="a1"/>
        <w:bidi w:val="0"/>
      </w:pPr>
      <w:r>
        <w:rPr>
          <w:rFonts w:hint="eastAsia"/>
          <w:lang w:val="en-US" w:eastAsia="zh-CN"/>
        </w:rPr>
        <w:t>截止</w:t>
      </w:r>
      <w:r>
        <w:rPr>
          <w:rFonts w:hint="default"/>
        </w:rPr>
        <w:t>2025年8月，问题管理工作达成预期目标，具体完成情况如下：</w:t>
      </w:r>
    </w:p>
    <w:p>
      <w:pPr>
        <w:pStyle w:val="a1"/>
        <w:numPr>
          <w:ilvl w:val="0"/>
          <w:numId w:val="15"/>
        </w:numPr>
        <w:bidi w:val="0"/>
        <w:ind w:left="425" w:hanging="425" w:leftChars="0" w:firstLineChars="0"/>
        <w:rPr>
          <w:rFonts w:hint="default"/>
        </w:rPr>
      </w:pPr>
      <w:r>
        <w:rPr>
          <w:rFonts w:hint="default"/>
        </w:rPr>
        <w:t>共处理问题16起，发生三次同类事件分析率≥90%，问题处理及时率达到100%。</w:t>
      </w:r>
    </w:p>
    <w:p>
      <w:pPr>
        <w:pStyle w:val="a1"/>
        <w:numPr>
          <w:ilvl w:val="0"/>
          <w:numId w:val="15"/>
        </w:numPr>
        <w:bidi w:val="0"/>
        <w:ind w:left="425" w:hanging="425" w:leftChars="0" w:firstLineChars="0"/>
        <w:rPr>
          <w:rFonts w:hint="default"/>
        </w:rPr>
      </w:pPr>
      <w:r>
        <w:rPr>
          <w:rFonts w:hint="default"/>
        </w:rPr>
        <w:t>持续加强问题管理流程与事件管理、服务级别管理等流程的有效协同，通过机制化联动提升问题管理的整体价值与实效。</w:t>
      </w:r>
    </w:p>
    <w:p>
      <w:pPr>
        <w:pStyle w:val="a1"/>
        <w:numPr>
          <w:ilvl w:val="0"/>
          <w:numId w:val="15"/>
        </w:numPr>
        <w:bidi w:val="0"/>
        <w:ind w:left="425" w:hanging="425" w:leftChars="0" w:firstLineChars="0"/>
        <w:rPr>
          <w:rFonts w:hint="default"/>
        </w:rPr>
      </w:pPr>
      <w:r>
        <w:rPr>
          <w:rFonts w:hint="default"/>
        </w:rPr>
        <w:t>积极推进问题管理流程优化，针对各项目组在问题流程执行中存在的差异与瓶颈开展持续改进，完善闭环管理机制。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变更管理情况总结</w:t>
      </w:r>
    </w:p>
    <w:p>
      <w:pPr>
        <w:pStyle w:val="a1"/>
        <w:bidi w:val="0"/>
      </w:pPr>
      <w:r>
        <w:rPr>
          <w:rFonts w:hint="eastAsia"/>
          <w:lang w:val="en-US" w:eastAsia="zh-CN"/>
        </w:rPr>
        <w:t>截止</w:t>
      </w:r>
      <w:r>
        <w:rPr>
          <w:rFonts w:hint="default"/>
        </w:rPr>
        <w:t>2025年8月，变更管理工作达成预期目标，具体完成情况如下：</w:t>
      </w:r>
    </w:p>
    <w:p>
      <w:pPr>
        <w:pStyle w:val="a1"/>
        <w:numPr>
          <w:ilvl w:val="0"/>
          <w:numId w:val="16"/>
        </w:numPr>
        <w:bidi w:val="0"/>
        <w:ind w:left="425" w:hanging="425" w:leftChars="0" w:firstLineChars="0"/>
        <w:rPr>
          <w:rFonts w:hint="default"/>
        </w:rPr>
      </w:pPr>
      <w:r>
        <w:rPr>
          <w:rFonts w:hint="default"/>
        </w:rPr>
        <w:t>共执行变更4次，其中配置变更2次，应用系统变更2次，变更成功率≥95%，紧急变更比率&lt;10%。</w:t>
      </w:r>
    </w:p>
    <w:p>
      <w:pPr>
        <w:pStyle w:val="a1"/>
        <w:numPr>
          <w:ilvl w:val="0"/>
          <w:numId w:val="16"/>
        </w:numPr>
        <w:bidi w:val="0"/>
        <w:ind w:left="425" w:hanging="425" w:leftChars="0" w:firstLineChars="0"/>
        <w:rPr>
          <w:rFonts w:hint="default"/>
        </w:rPr>
      </w:pPr>
      <w:r>
        <w:rPr>
          <w:rFonts w:hint="default"/>
        </w:rPr>
        <w:t>持续加强变更记录的完整性与规范性，重点强化对回退计划的质量监督与审核，确保各项变更均具备可行、可靠的恢复预案，有效规避因回退计划缺失或不足导致的运维风险。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发布管理情况总结</w:t>
      </w:r>
    </w:p>
    <w:p>
      <w:pPr>
        <w:pStyle w:val="a1"/>
        <w:bidi w:val="0"/>
      </w:pPr>
      <w:r>
        <w:rPr>
          <w:rFonts w:hint="eastAsia"/>
          <w:lang w:val="en-US" w:eastAsia="zh-CN"/>
        </w:rPr>
        <w:t>截止</w:t>
      </w:r>
      <w:r>
        <w:rPr>
          <w:rFonts w:hint="default"/>
        </w:rPr>
        <w:t>2025年</w:t>
      </w:r>
      <w:r>
        <w:rPr>
          <w:rFonts w:hint="eastAsia"/>
          <w:lang w:val="en-US" w:eastAsia="zh-CN"/>
        </w:rPr>
        <w:t>8月</w:t>
      </w:r>
      <w:r>
        <w:rPr>
          <w:rFonts w:hint="default"/>
        </w:rPr>
        <w:t>发布管理工作达成预期目标，具体完成情况如下：</w:t>
      </w:r>
    </w:p>
    <w:p>
      <w:pPr>
        <w:pStyle w:val="a1"/>
        <w:bidi w:val="0"/>
        <w:rPr>
          <w:rFonts w:hint="default"/>
        </w:rPr>
      </w:pPr>
      <w:r>
        <w:rPr>
          <w:rFonts w:hint="default"/>
        </w:rPr>
        <w:t>共实施4次软件版本升级发布，所有发布申请均通过审批并成功上线，发布实施成功率达100%，超过95%的指标体系要求，全面满足服务等级协议（SLA）相关标准。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配置管理情况总结</w:t>
      </w:r>
    </w:p>
    <w:p>
      <w:pPr>
        <w:pStyle w:val="a1"/>
        <w:bidi w:val="0"/>
      </w:pPr>
      <w:r>
        <w:rPr>
          <w:rFonts w:hint="eastAsia"/>
          <w:lang w:val="en-US" w:eastAsia="zh-CN"/>
        </w:rPr>
        <w:t>截止</w:t>
      </w:r>
      <w:r>
        <w:rPr>
          <w:rFonts w:hint="default"/>
        </w:rPr>
        <w:t>2025年8月，配置管理工作按计划推进并达成预期目标，具体完成情况如下：</w:t>
      </w:r>
    </w:p>
    <w:p>
      <w:pPr>
        <w:pStyle w:val="a1"/>
        <w:numPr>
          <w:ilvl w:val="0"/>
          <w:numId w:val="17"/>
        </w:numPr>
        <w:bidi w:val="0"/>
        <w:ind w:left="425" w:hanging="425" w:leftChars="0" w:firstLineChars="0"/>
        <w:rPr>
          <w:rFonts w:hint="default"/>
        </w:rPr>
      </w:pPr>
      <w:r>
        <w:rPr>
          <w:rFonts w:hint="default"/>
        </w:rPr>
        <w:t>公司持续完善配置管理制度体系，相关要求全面落实执行。组织开展了配置数据专项审计，统计结果显示：各项目配置项更新时间达标率不低于90%，配置管理数据库抽查准确率达到98%以上，各项指标均符合既定要求。</w:t>
      </w:r>
    </w:p>
    <w:p>
      <w:pPr>
        <w:pStyle w:val="a1"/>
        <w:numPr>
          <w:ilvl w:val="0"/>
          <w:numId w:val="17"/>
        </w:numPr>
        <w:bidi w:val="0"/>
        <w:ind w:left="425" w:hanging="425" w:leftChars="0" w:firstLineChars="0"/>
        <w:rPr>
          <w:rFonts w:hint="default"/>
        </w:rPr>
      </w:pPr>
      <w:r>
        <w:rPr>
          <w:rFonts w:hint="default"/>
        </w:rPr>
        <w:t>通过强化数据维护与审核机制，有效保障了配置库数据的准确性与可靠性，为运维服务提供坚实的数据基础。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服务可用性和连续性管理总结</w:t>
      </w:r>
    </w:p>
    <w:p>
      <w:pPr>
        <w:pStyle w:val="a1"/>
        <w:bidi w:val="0"/>
      </w:pPr>
      <w:r>
        <w:rPr>
          <w:rFonts w:hint="eastAsia"/>
          <w:lang w:val="en-US" w:eastAsia="zh-CN"/>
        </w:rPr>
        <w:t>截止</w:t>
      </w:r>
      <w:r>
        <w:rPr>
          <w:rFonts w:hint="default"/>
        </w:rPr>
        <w:t>2025年8月，服务可用性与连续性管理持续强化，主要工作成果如下：</w:t>
      </w:r>
    </w:p>
    <w:p>
      <w:pPr>
        <w:pStyle w:val="a1"/>
        <w:bidi w:val="0"/>
        <w:rPr>
          <w:rFonts w:hint="default"/>
        </w:rPr>
      </w:pPr>
      <w:r>
        <w:rPr>
          <w:rFonts w:hint="default"/>
        </w:rPr>
        <w:t>系统监控体系进一步完善，系统可用率稳定在98%以上。平台故障反馈入口持续优化，确保用户能够快速、便捷地进行故障上报。7×24小时故障响应团队有效运转，保障了突发事件的及时响应与处置。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容量管理情况总结</w:t>
      </w:r>
    </w:p>
    <w:p>
      <w:pPr>
        <w:pStyle w:val="a1"/>
        <w:bidi w:val="0"/>
      </w:pPr>
      <w:r>
        <w:rPr>
          <w:rFonts w:hint="eastAsia"/>
          <w:lang w:val="en-US" w:eastAsia="zh-CN"/>
        </w:rPr>
        <w:t>截止</w:t>
      </w:r>
      <w:r>
        <w:rPr>
          <w:rFonts w:hint="default"/>
        </w:rPr>
        <w:t>2025年8月，系统容量管理持续开展精细化运营，主要工作情况如下：</w:t>
      </w:r>
    </w:p>
    <w:p>
      <w:pPr>
        <w:pStyle w:val="a1"/>
        <w:bidi w:val="0"/>
        <w:rPr>
          <w:rFonts w:hint="default"/>
        </w:rPr>
      </w:pPr>
      <w:r>
        <w:rPr>
          <w:rFonts w:hint="default"/>
        </w:rPr>
        <w:t>持续对潜在容量风险进行监控与分析，完善事件预案及处置流程记录机制。按计划组织召开季度容量分析会议，总结阶段性经验并优化管理策略与流程。未发生因容量原因导致的事件。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信息安全管理总结</w:t>
      </w:r>
    </w:p>
    <w:p>
      <w:pPr>
        <w:pStyle w:val="a1"/>
        <w:bidi w:val="0"/>
      </w:pPr>
      <w:r>
        <w:rPr>
          <w:rFonts w:hint="eastAsia"/>
          <w:lang w:val="en-US" w:eastAsia="zh-CN"/>
        </w:rPr>
        <w:t>截止</w:t>
      </w:r>
      <w:r>
        <w:rPr>
          <w:rFonts w:hint="default"/>
        </w:rPr>
        <w:t>2025年8月，信息安全管理工作有效推进，主要完成以下工作：</w:t>
      </w:r>
    </w:p>
    <w:p>
      <w:pPr>
        <w:pStyle w:val="a1"/>
        <w:numPr>
          <w:ilvl w:val="0"/>
          <w:numId w:val="18"/>
        </w:numPr>
        <w:bidi w:val="0"/>
        <w:ind w:left="425" w:hanging="425" w:leftChars="0" w:firstLineChars="0"/>
        <w:rPr>
          <w:rFonts w:hint="default"/>
        </w:rPr>
      </w:pPr>
      <w:r>
        <w:rPr>
          <w:rFonts w:hint="default"/>
        </w:rPr>
        <w:t>未发生客户信息泄露事件，未出现信息安全事故导致的客户投诉，各项指标符合运维服务能力管理要求；</w:t>
      </w:r>
    </w:p>
    <w:p>
      <w:pPr>
        <w:pStyle w:val="a1"/>
        <w:numPr>
          <w:ilvl w:val="0"/>
          <w:numId w:val="18"/>
        </w:numPr>
        <w:bidi w:val="0"/>
        <w:ind w:left="425" w:hanging="425" w:leftChars="0" w:firstLineChars="0"/>
        <w:rPr>
          <w:rFonts w:hint="default"/>
        </w:rPr>
      </w:pPr>
      <w:r>
        <w:rPr>
          <w:rFonts w:hint="default"/>
        </w:rPr>
        <w:t>系统推进信息安全防护工具使用培训，强化项目组成员实操能力与风险防控水平，从源头防范因技能不足引发的安全隐患；组织开展最新安全法规及管理制度专项培训，全面提升全员安全意识和合规操作能力。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交付</w:t>
      </w:r>
    </w:p>
    <w:p>
      <w:pPr>
        <w:pStyle w:val="a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截止</w:t>
      </w:r>
      <w:r>
        <w:t>2025年8月，公司持续推进服务交付管理制度的优化与实施工作。依据既定交付管理制度及SLA要求，结合客户需求分析，制定了相应的交付方案并严格按方案执行，确保各项交付记录按时完成。统计显示，交付及时率≥95%，远程交付确认率≥97%，例行操作记录完整率≥95%，各项指标均达到目标要求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应急</w:t>
      </w:r>
    </w:p>
    <w:p>
      <w:pPr>
        <w:pStyle w:val="a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截止</w:t>
      </w:r>
      <w:r>
        <w:t>2025年8月，公司持续完善应急响应管理体系，严格依据《</w:t>
      </w:r>
      <w:r>
        <w:rPr>
          <w:rFonts w:hint="eastAsia"/>
          <w:lang w:val="en-US" w:eastAsia="zh-CN"/>
        </w:rPr>
        <w:t>组织级</w:t>
      </w:r>
      <w:r>
        <w:t>应急管理制度》及《运维服务能力管理</w:t>
      </w:r>
      <w:r>
        <w:rPr>
          <w:rFonts w:hint="eastAsia"/>
          <w:lang w:val="en-US" w:eastAsia="zh-CN"/>
        </w:rPr>
        <w:t>计划</w:t>
      </w:r>
      <w:r>
        <w:t>》开展各项工作。有效落实应急响应机制，健全应急响应组织，优化应急预案内容，并针对各运维项目制定了相应的应急管理办法。组织完成一次专项应急演练，应急预案覆盖率和及时响应率均达到既定目标要求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运维服务质量内部审核</w:t>
      </w:r>
    </w:p>
    <w:p>
      <w:pPr>
        <w:pStyle w:val="a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在2025年8月进行了一次内部审核，发现了一个不符合项，为一般不符合，已经由相关人员进行改正，质量部进行确认。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运维服务质量管理评审</w:t>
      </w:r>
    </w:p>
    <w:p>
      <w:pPr>
        <w:pStyle w:val="a1"/>
        <w:bidi w:val="0"/>
        <w:rPr>
          <w:rFonts w:hint="default"/>
          <w:lang w:val="en-US" w:eastAsia="zh-CN"/>
        </w:rPr>
      </w:pPr>
      <w:r>
        <w:t>于202</w:t>
      </w:r>
      <w:r>
        <w:rPr>
          <w:rFonts w:hint="eastAsia"/>
          <w:lang w:val="en-US" w:eastAsia="zh-CN"/>
        </w:rPr>
        <w:t>5</w:t>
      </w:r>
      <w:r>
        <w:t>年</w:t>
      </w:r>
      <w:r>
        <w:rPr>
          <w:rFonts w:hint="eastAsia"/>
          <w:lang w:val="en-US" w:eastAsia="zh-CN"/>
        </w:rPr>
        <w:t>8</w:t>
      </w:r>
      <w:r>
        <w:t>月</w:t>
      </w:r>
      <w:r>
        <w:rPr>
          <w:rFonts w:hint="eastAsia"/>
          <w:lang w:val="en-US" w:eastAsia="zh-CN"/>
        </w:rPr>
        <w:t>20日</w:t>
      </w:r>
      <w:r>
        <w:t>进行</w:t>
      </w:r>
      <w:r>
        <w:rPr>
          <w:rFonts w:hint="eastAsia"/>
          <w:lang w:val="en-US" w:eastAsia="zh-CN"/>
        </w:rPr>
        <w:t>管评工作。</w:t>
      </w:r>
      <w:r>
        <w:t>全面的总结了公司运维能力体系的运行情况，肯定了2025年质量管理体系运行的适宜性、有效性。通过这次管理评审，总结了经验，将更有力的推动公司持续发展。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客户满意度调查及分析</w:t>
      </w:r>
    </w:p>
    <w:p>
      <w:pPr>
        <w:pStyle w:val="a1"/>
        <w:bidi w:val="0"/>
      </w:pPr>
      <w:r>
        <w:t>对已统计的用户满意度调查问卷结果进行分析，</w:t>
      </w:r>
      <w:r>
        <w:rPr>
          <w:rFonts w:hint="eastAsia"/>
          <w:lang w:val="en-US" w:eastAsia="zh-CN"/>
        </w:rPr>
        <w:t>截至</w:t>
      </w:r>
      <w:r>
        <w:t>202</w:t>
      </w:r>
      <w:r>
        <w:rPr>
          <w:rFonts w:hint="eastAsia"/>
          <w:lang w:val="en-US" w:eastAsia="zh-CN"/>
        </w:rPr>
        <w:t>5</w:t>
      </w:r>
      <w:r>
        <w:t>年</w:t>
      </w:r>
      <w:r>
        <w:rPr>
          <w:rFonts w:hint="eastAsia"/>
          <w:lang w:val="en-US" w:eastAsia="zh-CN"/>
        </w:rPr>
        <w:t>8月</w:t>
      </w:r>
      <w:r>
        <w:t>运维服务业务总体的客户满意度平均分为</w:t>
      </w:r>
      <w:r>
        <w:rPr>
          <w:rFonts w:hint="eastAsia"/>
          <w:lang w:val="en-US" w:eastAsia="zh-CN"/>
        </w:rPr>
        <w:t>97.4</w:t>
      </w:r>
      <w:r>
        <w:t>分，通过调查分数以及客户提出的改进意见，质量中心发现运维服务过程中有提高的空间。</w:t>
      </w:r>
    </w:p>
    <w:p>
      <w:pPr>
        <w:pStyle w:val="a1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服务能力改进</w:t>
      </w:r>
    </w:p>
    <w:p>
      <w:pPr>
        <w:pStyle w:val="a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针对内部审核发现的不符合项，有计划性的进行培训。针对客户提出的改进意见积极归纳总结。</w:t>
      </w:r>
    </w:p>
    <w:p>
      <w:pPr>
        <w:pStyle w:val="1"/>
        <w:bidi w:val="0"/>
        <w:rPr>
          <w:rStyle w:val="1Char"/>
          <w:rFonts w:eastAsia="宋体" w:hint="default"/>
          <w:lang w:val="en-US" w:eastAsia="zh-CN"/>
        </w:rPr>
      </w:pPr>
      <w:bookmarkStart w:id="2" w:name="bookmark3"/>
      <w:bookmarkEnd w:id="2"/>
      <w:bookmarkStart w:id="3" w:name="_Toc17424"/>
      <w:r>
        <w:rPr>
          <w:rStyle w:val="1Char"/>
          <w:rFonts w:eastAsia="宋体" w:hint="eastAsia"/>
          <w:lang w:val="en-US" w:eastAsia="zh-CN"/>
        </w:rPr>
        <w:t>附则</w:t>
      </w:r>
      <w:bookmarkEnd w:id="3"/>
    </w:p>
    <w:p>
      <w:pPr>
        <w:keepNext w:val="0"/>
        <w:keepLines w:val="0"/>
        <w:pageBreakBefore w:val="0"/>
        <w:widowControl/>
        <w:numPr>
          <w:ilvl w:val="0"/>
          <w:numId w:val="19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hanging="425" w:leftChars="0" w:firstLineChars="0"/>
        <w:textAlignment w:val="baseline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1"/>
          <w:sz w:val="24"/>
          <w:szCs w:val="24"/>
        </w:rPr>
        <w:t>本制度最终解释权和修订权归</w:t>
      </w:r>
      <w:r>
        <w:rPr>
          <w:rFonts w:ascii="宋体" w:eastAsia="宋体" w:hAnsi="宋体" w:cs="宋体" w:hint="eastAsia"/>
          <w:spacing w:val="-1"/>
          <w:sz w:val="24"/>
          <w:szCs w:val="24"/>
          <w:lang w:val="en-US" w:eastAsia="zh-CN"/>
        </w:rPr>
        <w:t>质量</w:t>
      </w:r>
      <w:r>
        <w:rPr>
          <w:rFonts w:ascii="宋体" w:eastAsia="宋体" w:hAnsi="宋体" w:cs="宋体" w:hint="eastAsia"/>
          <w:spacing w:val="-1"/>
          <w:sz w:val="24"/>
          <w:szCs w:val="24"/>
          <w:lang w:eastAsia="zh-CN"/>
        </w:rPr>
        <w:t>部</w:t>
      </w:r>
      <w:r>
        <w:rPr>
          <w:rFonts w:ascii="宋体" w:eastAsia="宋体" w:hAnsi="宋体" w:cs="宋体"/>
          <w:spacing w:val="-1"/>
          <w:sz w:val="24"/>
          <w:szCs w:val="24"/>
        </w:rPr>
        <w:t>。</w:t>
      </w:r>
    </w:p>
    <w:p>
      <w:pPr>
        <w:pStyle w:val="1"/>
        <w:bidi w:val="0"/>
        <w:rPr>
          <w:rFonts w:hint="default"/>
          <w:lang w:val="en-US" w:eastAsia="zh-CN"/>
        </w:rPr>
      </w:pPr>
      <w:bookmarkStart w:id="4" w:name="bookmark14"/>
      <w:bookmarkEnd w:id="4"/>
      <w:r>
        <w:rPr>
          <w:rFonts w:hint="eastAsia"/>
          <w:lang w:val="en-US" w:eastAsia="zh-CN"/>
        </w:rPr>
        <w:t>附件</w:t>
      </w:r>
      <w:bookmarkStart w:id="5" w:name="_GoBack"/>
      <w:bookmarkEnd w:id="5"/>
    </w:p>
    <w:p>
      <w:pPr>
        <w:pStyle w:val="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</w:t>
      </w:r>
    </w:p>
    <w:sectPr>
      <w:headerReference w:type="default" r:id="rId4"/>
      <w:pgSz w:w="11906" w:h="16838"/>
      <w:pgMar w:top="1417" w:right="1800" w:bottom="1440" w:left="1800" w:header="1140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pBdr>
        <w:bottom w:val="single" w:sz="4" w:space="1" w:color="auto"/>
      </w:pBdr>
      <w:jc w:val="right"/>
      <w:rPr>
        <w:rFonts w:eastAsiaTheme="minorEastAsia" w:hint="eastAsia"/>
        <w:lang w:eastAsia="zh-CN"/>
      </w:rPr>
    </w:pPr>
    <w:r>
      <w:rPr>
        <w:rFonts w:eastAsiaTheme="minorEastAsia" w:hint="eastAsia"/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Theme="minorEastAsia" w:hint="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87E7EBE7"/>
    <w:multiLevelType w:val="singleLevel"/>
    <w:tmpl w:val="87E7EBE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BD1F4BC"/>
    <w:multiLevelType w:val="singleLevel"/>
    <w:tmpl w:val="8BD1F4B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8C91E336"/>
    <w:multiLevelType w:val="singleLevel"/>
    <w:tmpl w:val="8C91E3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8E964DCE"/>
    <w:multiLevelType w:val="multilevel"/>
    <w:tmpl w:val="8E964DC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9032951E"/>
    <w:multiLevelType w:val="singleLevel"/>
    <w:tmpl w:val="9032951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993C05C7"/>
    <w:multiLevelType w:val="singleLevel"/>
    <w:tmpl w:val="993C05C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B6C4A339"/>
    <w:multiLevelType w:val="singleLevel"/>
    <w:tmpl w:val="B6C4A33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B7628C6B"/>
    <w:multiLevelType w:val="singleLevel"/>
    <w:tmpl w:val="B7628C6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C759F1A5"/>
    <w:multiLevelType w:val="singleLevel"/>
    <w:tmpl w:val="C759F1A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E45434A0"/>
    <w:multiLevelType w:val="singleLevel"/>
    <w:tmpl w:val="E45434A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E4C4C4CB"/>
    <w:multiLevelType w:val="singleLevel"/>
    <w:tmpl w:val="E4C4C4C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E8C9E0FF"/>
    <w:multiLevelType w:val="singleLevel"/>
    <w:tmpl w:val="E8C9E0F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F3EBFA7E"/>
    <w:multiLevelType w:val="singleLevel"/>
    <w:tmpl w:val="F3EBFA7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F9539CF3"/>
    <w:multiLevelType w:val="singleLevel"/>
    <w:tmpl w:val="F9539CF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1D772203"/>
    <w:multiLevelType w:val="singleLevel"/>
    <w:tmpl w:val="1D77220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327173FB"/>
    <w:multiLevelType w:val="singleLevel"/>
    <w:tmpl w:val="327173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4EF89E65"/>
    <w:multiLevelType w:val="singleLevel"/>
    <w:tmpl w:val="4EF89E6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562F5956"/>
    <w:multiLevelType w:val="singleLevel"/>
    <w:tmpl w:val="562F595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7C911AA6"/>
    <w:multiLevelType w:val="singleLevel"/>
    <w:tmpl w:val="7C911AA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5"/>
  </w:num>
  <w:num w:numId="4">
    <w:abstractNumId w:val="14"/>
  </w:num>
  <w:num w:numId="5">
    <w:abstractNumId w:val="11"/>
  </w:num>
  <w:num w:numId="6">
    <w:abstractNumId w:val="2"/>
  </w:num>
  <w:num w:numId="7">
    <w:abstractNumId w:val="1"/>
  </w:num>
  <w:num w:numId="8">
    <w:abstractNumId w:val="12"/>
  </w:num>
  <w:num w:numId="9">
    <w:abstractNumId w:val="9"/>
  </w:num>
  <w:num w:numId="10">
    <w:abstractNumId w:val="10"/>
  </w:num>
  <w:num w:numId="11">
    <w:abstractNumId w:val="7"/>
  </w:num>
  <w:num w:numId="12">
    <w:abstractNumId w:val="16"/>
  </w:num>
  <w:num w:numId="13">
    <w:abstractNumId w:val="18"/>
  </w:num>
  <w:num w:numId="14">
    <w:abstractNumId w:val="8"/>
  </w:num>
  <w:num w:numId="15">
    <w:abstractNumId w:val="6"/>
  </w:num>
  <w:num w:numId="16">
    <w:abstractNumId w:val="5"/>
  </w:num>
  <w:num w:numId="17">
    <w:abstractNumId w:val="17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embedSystemFonts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uiPriority="0" w:qFormat="1"/>
    <w:lsdException w:name="heading 4" w:semiHidden="0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 w:qFormat="1"/>
    <w:lsdException w:name="toc 2" w:semiHidden="0" w:uiPriority="0" w:unhideWhenUsed="0" w:qFormat="1"/>
    <w:lsdException w:name="toc 3" w:semiHidden="0" w:uiPriority="0" w:unhideWhenUsed="0" w:qFormat="1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 w:qFormat="1"/>
    <w:lsdException w:name="header" w:semiHidden="0" w:uiPriority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uiPriority="0" w:unhideWhenUsed="0" w:qFormat="1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 w:qFormat="1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eastAsia="宋体" w:hAnsi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eastAsia="黑体" w:hAnsi="Arial"/>
      <w:b/>
      <w:sz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eastAsia="黑体" w:hAnsi="Arial"/>
      <w:b/>
      <w:sz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eastAsia="黑体" w:hAnsi="Arial"/>
      <w:sz w:val="21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qFormat/>
    <w:pPr>
      <w:jc w:val="left"/>
    </w:pPr>
  </w:style>
  <w:style w:type="paragraph" w:styleId="BodyText">
    <w:name w:val="Body Text"/>
    <w:basedOn w:val="Normal"/>
    <w:semiHidden/>
    <w:qFormat/>
    <w:rPr>
      <w:rFonts w:ascii="Arial" w:eastAsia="Arial" w:hAnsi="Arial" w:cs="Arial"/>
      <w:sz w:val="21"/>
      <w:szCs w:val="21"/>
      <w:lang w:val="en-US" w:eastAsia="en-US" w:bidi="ar-SA"/>
    </w:rPr>
  </w:style>
  <w:style w:type="paragraph" w:styleId="TOC3">
    <w:name w:val="toc 3"/>
    <w:basedOn w:val="Normal"/>
    <w:next w:val="Normal"/>
    <w:qFormat/>
    <w:pPr>
      <w:ind w:left="840" w:leftChars="400"/>
    </w:p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il"/>
        <w:left w:val="nil"/>
        <w:bottom w:val="nil"/>
        <w:right w:val="nil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TOC1">
    <w:name w:val="toc 1"/>
    <w:basedOn w:val="Normal"/>
    <w:next w:val="Normal"/>
    <w:qFormat/>
    <w:rPr>
      <w:rFonts w:ascii="Arial" w:eastAsia="Microsoft JhengHei" w:hAnsi="Arial"/>
      <w:sz w:val="24"/>
    </w:rPr>
  </w:style>
  <w:style w:type="paragraph" w:styleId="TOC2">
    <w:name w:val="toc 2"/>
    <w:basedOn w:val="Normal"/>
    <w:next w:val="Normal"/>
    <w:qFormat/>
    <w:pPr>
      <w:ind w:left="420" w:leftChars="200"/>
    </w:pPr>
  </w:style>
  <w:style w:type="paragraph" w:styleId="NormalWeb">
    <w:name w:val="Normal (Web)"/>
    <w:basedOn w:val="Normal"/>
    <w:qFormat/>
    <w:rPr>
      <w:sz w:val="24"/>
    </w:rPr>
  </w:style>
  <w:style w:type="paragraph" w:styleId="Title">
    <w:name w:val="Title"/>
    <w:basedOn w:val="Normal"/>
    <w:qFormat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Pr>
      <w:b/>
    </w:rPr>
  </w:style>
  <w:style w:type="paragraph" w:customStyle="1" w:styleId="a">
    <w:name w:val="柴_公司名"/>
    <w:basedOn w:val="Title"/>
    <w:qFormat/>
    <w:pPr>
      <w:spacing w:after="600" w:afterLines="600"/>
    </w:pPr>
    <w:rPr>
      <w:rFonts w:ascii="宋体" w:eastAsia="宋体" w:hAnsi="宋体" w:cs="宋体" w:hint="eastAsia"/>
      <w:bCs/>
      <w:spacing w:val="-6"/>
      <w:sz w:val="52"/>
      <w:szCs w:val="52"/>
    </w:rPr>
  </w:style>
  <w:style w:type="paragraph" w:customStyle="1" w:styleId="a0">
    <w:name w:val="柴_文档名"/>
    <w:basedOn w:val="Title"/>
    <w:qFormat/>
    <w:pPr>
      <w:spacing w:after="900" w:afterLines="900"/>
    </w:pPr>
    <w:rPr>
      <w:rFonts w:ascii="黑体" w:eastAsia="黑体" w:hAnsi="黑体" w:cs="黑体"/>
      <w:bCs/>
      <w:spacing w:val="-7"/>
      <w:sz w:val="52"/>
      <w:szCs w:val="52"/>
    </w:rPr>
  </w:style>
  <w:style w:type="table" w:customStyle="1" w:styleId="TableNormal0">
    <w:name w:val="Table Normal_0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Normal"/>
    <w:semiHidden/>
    <w:qFormat/>
    <w:rPr>
      <w:rFonts w:ascii="宋体" w:eastAsia="宋体" w:hAnsi="宋体" w:cs="宋体"/>
      <w:sz w:val="21"/>
      <w:szCs w:val="21"/>
      <w:lang w:val="en-US" w:eastAsia="en-US" w:bidi="ar-SA"/>
    </w:rPr>
  </w:style>
  <w:style w:type="paragraph" w:customStyle="1" w:styleId="1">
    <w:name w:val="柴_标题1"/>
    <w:basedOn w:val="Heading1"/>
    <w:next w:val="a1"/>
    <w:link w:val="1Char"/>
    <w:qFormat/>
    <w:pPr>
      <w:spacing w:before="100" w:after="90" w:line="360" w:lineRule="auto"/>
    </w:pPr>
    <w:rPr>
      <w:rFonts w:ascii="Arial" w:eastAsia="宋体" w:hAnsi="Arial"/>
      <w:sz w:val="32"/>
    </w:rPr>
  </w:style>
  <w:style w:type="paragraph" w:customStyle="1" w:styleId="a1">
    <w:name w:val="柴_正文"/>
    <w:basedOn w:val="BodyText"/>
    <w:link w:val="Char"/>
    <w:qFormat/>
    <w:pPr>
      <w:spacing w:line="360" w:lineRule="auto"/>
      <w:ind w:firstLine="470" w:firstLineChars="200"/>
    </w:pPr>
    <w:rPr>
      <w:rFonts w:ascii="Arial" w:eastAsia="宋体" w:hAnsi="Arial"/>
      <w:sz w:val="24"/>
      <w:lang w:eastAsia="zh-CN"/>
    </w:rPr>
  </w:style>
  <w:style w:type="paragraph" w:customStyle="1" w:styleId="2">
    <w:name w:val="柴_标题2"/>
    <w:basedOn w:val="Heading2"/>
    <w:next w:val="a1"/>
    <w:qFormat/>
    <w:pPr>
      <w:spacing w:line="360" w:lineRule="auto"/>
    </w:pPr>
    <w:rPr>
      <w:rFonts w:ascii="Arial" w:eastAsia="宋体" w:hAnsi="Arial"/>
      <w:sz w:val="28"/>
    </w:rPr>
  </w:style>
  <w:style w:type="paragraph" w:customStyle="1" w:styleId="3">
    <w:name w:val="柴_标题3"/>
    <w:basedOn w:val="Heading3"/>
    <w:next w:val="a1"/>
    <w:qFormat/>
    <w:pPr>
      <w:spacing w:line="360" w:lineRule="auto"/>
      <w:ind w:left="0" w:firstLine="472" w:firstLineChars="200"/>
    </w:pPr>
    <w:rPr>
      <w:rFonts w:ascii="宋体" w:eastAsia="宋体" w:hAnsi="宋体" w:cs="宋体"/>
      <w:spacing w:val="-2"/>
      <w:sz w:val="24"/>
      <w:szCs w:val="24"/>
    </w:rPr>
  </w:style>
  <w:style w:type="paragraph" w:customStyle="1" w:styleId="a2">
    <w:name w:val="柴_目录"/>
    <w:basedOn w:val="Normal"/>
    <w:next w:val="BodyText"/>
    <w:qFormat/>
    <w:pPr>
      <w:tabs>
        <w:tab w:val="right" w:leader="dot" w:pos="8442"/>
      </w:tabs>
      <w:ind w:left="0" w:leftChars="0"/>
    </w:pPr>
    <w:rPr>
      <w:rFonts w:ascii="Arial" w:eastAsia="Microsoft JhengHei" w:hAnsi="Arial"/>
      <w:sz w:val="24"/>
    </w:rPr>
  </w:style>
  <w:style w:type="paragraph" w:customStyle="1" w:styleId="WPSOffice1">
    <w:name w:val="WPSOffice手动目录 1"/>
    <w:qFormat/>
    <w:pPr>
      <w:ind w:leftChars="0"/>
    </w:pPr>
    <w:rPr>
      <w:rFonts w:ascii="Times New Roman" w:eastAsia="宋体" w:hAnsi="Times New Roman" w:cs="Times New Roman"/>
      <w:sz w:val="20"/>
      <w:szCs w:val="20"/>
    </w:rPr>
  </w:style>
  <w:style w:type="paragraph" w:customStyle="1" w:styleId="WPSOffice2">
    <w:name w:val="WPSOffice手动目录 2"/>
    <w:qFormat/>
    <w:pPr>
      <w:ind w:leftChars="200"/>
    </w:pPr>
    <w:rPr>
      <w:rFonts w:ascii="Times New Roman" w:eastAsia="宋体" w:hAnsi="Times New Roman" w:cs="Times New Roman"/>
      <w:sz w:val="20"/>
      <w:szCs w:val="20"/>
    </w:rPr>
  </w:style>
  <w:style w:type="paragraph" w:customStyle="1" w:styleId="WPSOffice3">
    <w:name w:val="WPSOffice手动目录 3"/>
    <w:qFormat/>
    <w:pPr>
      <w:ind w:leftChars="400"/>
    </w:pPr>
    <w:rPr>
      <w:rFonts w:ascii="Times New Roman" w:eastAsia="宋体" w:hAnsi="Times New Roman" w:cs="Times New Roman"/>
      <w:sz w:val="20"/>
      <w:szCs w:val="20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sz="0" w:space="0" w:color="auto"/>
        </w:tcBorders>
        <w:vAlign w:val="bottom"/>
      </w:tcPr>
    </w:tblStylePr>
  </w:style>
  <w:style w:type="character" w:customStyle="1" w:styleId="1Char">
    <w:name w:val="柴_标题1 Char"/>
    <w:link w:val="1"/>
    <w:qFormat/>
    <w:rPr>
      <w:rFonts w:ascii="Arial" w:eastAsia="宋体" w:hAnsi="Arial"/>
      <w:sz w:val="32"/>
    </w:rPr>
  </w:style>
  <w:style w:type="paragraph" w:customStyle="1" w:styleId="a3">
    <w:name w:val="柴_正文_无缩进"/>
    <w:basedOn w:val="Normal"/>
    <w:qFormat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">
    <w:name w:val="柴_标题4"/>
    <w:basedOn w:val="Heading4"/>
    <w:next w:val="Normal"/>
    <w:qFormat/>
    <w:pPr>
      <w:widowControl w:val="0"/>
      <w:spacing w:before="160" w:line="360" w:lineRule="auto"/>
      <w:ind w:left="981" w:hanging="862" w:leftChars="300"/>
    </w:pPr>
    <w:rPr>
      <w:rFonts w:ascii="Calibri" w:eastAsia="宋体" w:hAnsi="Calibri" w:cs="宋体" w:hint="eastAsia"/>
      <w:sz w:val="24"/>
      <w:szCs w:val="24"/>
      <w:lang w:eastAsia="zh-CN" w:bidi="zh-CN"/>
    </w:rPr>
  </w:style>
  <w:style w:type="character" w:customStyle="1" w:styleId="Char">
    <w:name w:val="柴_正文 Char"/>
    <w:link w:val="a1"/>
    <w:qFormat/>
    <w:rPr>
      <w:rFonts w:ascii="Arial" w:eastAsia="宋体" w:hAnsi="Arial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4795</Words>
  <Characters>5159</Characters>
  <Application>Microsoft Office Word</Application>
  <DocSecurity>0</DocSecurity>
  <Lines>0</Lines>
  <Paragraphs>0</Paragraphs>
  <ScaleCrop>false</ScaleCrop>
  <Company/>
  <LinksUpToDate>false</LinksUpToDate>
  <CharactersWithSpaces>5199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郝宇</dc:creator>
  <cp:lastModifiedBy>郝宇</cp:lastModifiedBy>
  <cp:revision>1</cp:revision>
  <dcterms:created xsi:type="dcterms:W3CDTF">2025-09-03T14:43:00Z</dcterms:created>
  <dcterms:modified xsi:type="dcterms:W3CDTF">2025-09-14T10:32:33Z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