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运维服务能力管理</w:t>
      </w:r>
      <w:bookmarkEnd w:id="1"/>
      <w:r>
        <w:rPr>
          <w:rFonts w:hint="eastAsia"/>
          <w:lang w:val="en-US" w:eastAsia="zh-CN"/>
        </w:rPr>
        <w:t>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521341941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521341941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521341941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521341941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r>
        <w:rPr>
          <w:rFonts w:hint="eastAsia"/>
          <w:lang w:val="en-US" w:eastAsia="zh-CN"/>
        </w:rPr>
        <w:t>概述</w:t>
      </w:r>
    </w:p>
    <w:p w14:paraId="3726012F">
      <w:pPr>
        <w:pStyle w:val="29"/>
        <w:bidi w:val="0"/>
      </w:pPr>
      <w:r>
        <w:rPr>
          <w:rFonts w:hint="default"/>
        </w:rPr>
        <w:t>2025年，公司设定全年运维服务收入目标为510万元。</w:t>
      </w:r>
      <w:r>
        <w:rPr>
          <w:rFonts w:hint="eastAsia"/>
          <w:lang w:val="en-US" w:eastAsia="zh-CN"/>
        </w:rPr>
        <w:t>截止目前</w:t>
      </w:r>
      <w:r>
        <w:rPr>
          <w:rFonts w:hint="default"/>
        </w:rPr>
        <w:t>运维业务持续快速发展，公司始终秉持以客户满意为核心的服务导向，通过加强人才队伍建设、持续提升服务水平、加大研发支持力度，不断优化最终软件库管理，并增强各团队服务能力，为客户提供更加优质高效的运维服务支持。截至2025年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月，运维业务实现收入</w:t>
      </w:r>
      <w:r>
        <w:rPr>
          <w:rFonts w:hint="eastAsia"/>
          <w:lang w:val="en-US" w:eastAsia="zh-CN"/>
        </w:rPr>
        <w:t>400</w:t>
      </w:r>
      <w:r>
        <w:rPr>
          <w:rFonts w:hint="default"/>
        </w:rPr>
        <w:t>万元，完成全年目标的</w:t>
      </w:r>
      <w:r>
        <w:rPr>
          <w:rFonts w:hint="eastAsia"/>
          <w:lang w:val="en-US" w:eastAsia="zh-CN"/>
        </w:rPr>
        <w:t>78.43%</w:t>
      </w:r>
      <w:r>
        <w:rPr>
          <w:rFonts w:hint="default"/>
        </w:rPr>
        <w:t>%，进度符合预期。</w:t>
      </w:r>
    </w:p>
    <w:p w14:paraId="1D70CAB0">
      <w:pPr>
        <w:pStyle w:val="29"/>
        <w:bidi w:val="0"/>
        <w:rPr>
          <w:rFonts w:hint="default"/>
        </w:rPr>
      </w:pPr>
      <w:r>
        <w:rPr>
          <w:rFonts w:hint="default"/>
        </w:rPr>
        <w:t>为规范运维服务流程、提升服务品质与客户满意度，公司于2025年1月正式建立符合ITSS（信息技术服务标准）要求的运维服务能力管理体系，并全面推行实施。为充分发挥ITSS体系效能，公司制定了系统的运维服务能力管理规划，在过去半年中对各项运维能力目标的达成情况持续跟踪监督，并依据ITSS标准开展了内部符合性评估。从阶段性运行结果及内部评估情况来看，公司基本达成了年初制定的运维服务能力建设目标，体系运行总体有效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能力管理总结</w:t>
      </w:r>
    </w:p>
    <w:p w14:paraId="73584BE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人员管理管理情况总结</w:t>
      </w:r>
    </w:p>
    <w:p w14:paraId="5CA0135D">
      <w:pPr>
        <w:pStyle w:val="31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招聘</w:t>
      </w:r>
      <w:r>
        <w:rPr>
          <w:rFonts w:hint="eastAsia"/>
          <w:lang w:eastAsia="zh-CN"/>
        </w:rPr>
        <w:t>管理情况总结</w:t>
      </w:r>
    </w:p>
    <w:p w14:paraId="56243FAA">
      <w:pPr>
        <w:pStyle w:val="29"/>
        <w:bidi w:val="0"/>
        <w:rPr>
          <w:rFonts w:hint="default"/>
        </w:rPr>
      </w:pPr>
      <w:r>
        <w:rPr>
          <w:rFonts w:hint="eastAsia"/>
          <w:lang w:val="en-US" w:eastAsia="zh-CN"/>
        </w:rPr>
        <w:t>截止2025年8月，计划招聘软件运维工程师1人、研发工程师1人；</w:t>
      </w:r>
      <w:r>
        <w:rPr>
          <w:rFonts w:hint="default"/>
        </w:rPr>
        <w:t>2025年第一、二季度计划招聘</w:t>
      </w:r>
      <w:r>
        <w:rPr>
          <w:rFonts w:hint="eastAsia"/>
          <w:lang w:val="en-US" w:eastAsia="zh-CN"/>
        </w:rPr>
        <w:t>软件</w:t>
      </w:r>
      <w:r>
        <w:rPr>
          <w:rFonts w:hint="default"/>
        </w:rPr>
        <w:t>运维</w:t>
      </w:r>
      <w:r>
        <w:rPr>
          <w:rFonts w:hint="eastAsia"/>
          <w:lang w:val="en-US" w:eastAsia="zh-CN"/>
        </w:rPr>
        <w:t>工程师</w:t>
      </w:r>
      <w:r>
        <w:rPr>
          <w:rFonts w:hint="default"/>
        </w:rPr>
        <w:t>1人，实际完成招聘1人，新员工按时到岗率为100%，符合预期目标。</w:t>
      </w:r>
    </w:p>
    <w:p w14:paraId="04D5BFDE">
      <w:pPr>
        <w:pStyle w:val="31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储备</w:t>
      </w:r>
      <w:r>
        <w:rPr>
          <w:rFonts w:hint="eastAsia"/>
          <w:lang w:eastAsia="zh-CN"/>
        </w:rPr>
        <w:t>管理情况总结</w:t>
      </w:r>
    </w:p>
    <w:p w14:paraId="1D4F5B69">
      <w:pPr>
        <w:pStyle w:val="29"/>
        <w:bidi w:val="0"/>
        <w:rPr>
          <w:rFonts w:hint="default"/>
        </w:rPr>
      </w:pPr>
      <w:r>
        <w:rPr>
          <w:rFonts w:hint="default"/>
        </w:rPr>
        <w:t>计划于2025年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月底前完成2名后备人员储备，目前已全面落实2人储备任务，人员储备率超过90%，达到考核要求。</w:t>
      </w:r>
    </w:p>
    <w:p w14:paraId="37BAD0D7">
      <w:pPr>
        <w:pStyle w:val="31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备份</w:t>
      </w:r>
      <w:r>
        <w:rPr>
          <w:rFonts w:hint="eastAsia"/>
          <w:lang w:eastAsia="zh-CN"/>
        </w:rPr>
        <w:t>管理情况总结</w:t>
      </w:r>
    </w:p>
    <w:p w14:paraId="1C6D1131">
      <w:pPr>
        <w:pStyle w:val="29"/>
        <w:bidi w:val="0"/>
        <w:rPr>
          <w:rFonts w:hint="default"/>
        </w:rPr>
      </w:pPr>
      <w:r>
        <w:rPr>
          <w:rFonts w:hint="default"/>
        </w:rPr>
        <w:t>2025年1月，公司在运维部经理、运维项目经理、软件运维工程师、</w:t>
      </w:r>
      <w:r>
        <w:rPr>
          <w:rFonts w:hint="eastAsia"/>
          <w:lang w:val="en-US" w:eastAsia="zh-CN"/>
        </w:rPr>
        <w:t>研发项目经理等</w:t>
      </w:r>
      <w:r>
        <w:rPr>
          <w:rFonts w:hint="default"/>
        </w:rPr>
        <w:t>关键岗位全面推行AB岗备份机制，有效保障A岗员工因休假、请假等原因离岗时，其职责由具备相应业务能力的B岗员工承接，确保业务连续性与稳定性。</w:t>
      </w:r>
    </w:p>
    <w:p w14:paraId="200B5C1A">
      <w:pPr>
        <w:pStyle w:val="31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培训</w:t>
      </w:r>
      <w:r>
        <w:rPr>
          <w:rFonts w:hint="eastAsia"/>
          <w:lang w:eastAsia="zh-CN"/>
        </w:rPr>
        <w:t>管理情况总结</w:t>
      </w:r>
    </w:p>
    <w:p w14:paraId="7FA5E86C">
      <w:pPr>
        <w:pStyle w:val="29"/>
        <w:bidi w:val="0"/>
        <w:rPr>
          <w:rFonts w:hint="default"/>
        </w:rPr>
      </w:pPr>
      <w:r>
        <w:rPr>
          <w:rFonts w:hint="default"/>
        </w:rPr>
        <w:t>自2025年初至今，按计划共组织开展ITSS相关培训</w:t>
      </w:r>
      <w:r>
        <w:rPr>
          <w:rFonts w:hint="eastAsia"/>
          <w:lang w:val="en-US" w:eastAsia="zh-CN"/>
        </w:rPr>
        <w:t>25</w:t>
      </w:r>
      <w:r>
        <w:rPr>
          <w:rFonts w:hint="default"/>
        </w:rPr>
        <w:t>场，涵盖ITSS标准宣贯、政务企业管理软件研发与运维、数据仓库与数据挖掘工具、过程管理、质量管理、事件管理及运维工具应用等内容。参训人员包括服务台、</w:t>
      </w:r>
      <w:r>
        <w:rPr>
          <w:rFonts w:hint="eastAsia"/>
          <w:lang w:val="en-US" w:eastAsia="zh-CN"/>
        </w:rPr>
        <w:t>运维实施</w:t>
      </w:r>
      <w:r>
        <w:rPr>
          <w:rFonts w:hint="default"/>
        </w:rPr>
        <w:t>工程师等岗位，累计达</w:t>
      </w:r>
      <w:r>
        <w:rPr>
          <w:rFonts w:hint="eastAsia"/>
          <w:lang w:val="en-US" w:eastAsia="zh-CN"/>
        </w:rPr>
        <w:t>200</w:t>
      </w:r>
      <w:r>
        <w:rPr>
          <w:rFonts w:hint="default"/>
        </w:rPr>
        <w:t>余人次，培训计划完成率100%，整体培训效果良好，达到设定目标。</w:t>
      </w:r>
    </w:p>
    <w:p w14:paraId="29473270">
      <w:pPr>
        <w:pStyle w:val="31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绩效考核</w:t>
      </w:r>
      <w:r>
        <w:rPr>
          <w:rFonts w:hint="eastAsia"/>
          <w:lang w:eastAsia="zh-CN"/>
        </w:rPr>
        <w:t>管理情况总结</w:t>
      </w:r>
    </w:p>
    <w:p w14:paraId="2DDBFA26">
      <w:pPr>
        <w:pStyle w:val="29"/>
        <w:bidi w:val="0"/>
        <w:rPr>
          <w:rFonts w:hint="default"/>
        </w:rPr>
      </w:pPr>
      <w:r>
        <w:rPr>
          <w:rFonts w:hint="default"/>
        </w:rPr>
        <w:t>人力部依据公司绩效考核制度，每季度组织对各岗位人员实施考核。统计显示，公司员工绩效平均得分约93分，绩效考核合格率不低于95%，符合制度要求。</w:t>
      </w:r>
    </w:p>
    <w:p w14:paraId="6FF23C68">
      <w:pPr>
        <w:pStyle w:val="31"/>
        <w:bidi w:val="0"/>
        <w:rPr>
          <w:rFonts w:hint="default"/>
        </w:rPr>
      </w:pPr>
      <w:r>
        <w:rPr>
          <w:rFonts w:hint="default"/>
        </w:rPr>
        <w:t>人员技能评价</w:t>
      </w:r>
      <w:r>
        <w:rPr>
          <w:rFonts w:hint="eastAsia"/>
          <w:lang w:eastAsia="zh-CN"/>
        </w:rPr>
        <w:t>管理情况总结</w:t>
      </w:r>
    </w:p>
    <w:p w14:paraId="0E446126">
      <w:pPr>
        <w:pStyle w:val="29"/>
        <w:bidi w:val="0"/>
        <w:rPr>
          <w:rFonts w:hint="default"/>
        </w:rPr>
      </w:pPr>
      <w:r>
        <w:rPr>
          <w:rFonts w:hint="default"/>
        </w:rPr>
        <w:t>人力部根据人员技能评价制度，每季度对公司各岗位人员开展技能评估。</w:t>
      </w:r>
      <w:r>
        <w:rPr>
          <w:rFonts w:hint="default"/>
        </w:rPr>
        <w:br w:type="textWrapping"/>
      </w:r>
      <w:r>
        <w:rPr>
          <w:rFonts w:hint="default"/>
        </w:rPr>
        <w:t>经汇总，当前员工技能评价平均得分约为91分，绩效等级评定为五级，人员能力合格率≥95%，能够有效支持服务目录实现与运维业务发展需要。</w:t>
      </w:r>
    </w:p>
    <w:p w14:paraId="04C430F3">
      <w:pPr>
        <w:pStyle w:val="31"/>
        <w:bidi w:val="0"/>
        <w:rPr>
          <w:rFonts w:hint="default"/>
        </w:rPr>
      </w:pPr>
      <w:r>
        <w:rPr>
          <w:rFonts w:hint="default"/>
        </w:rPr>
        <w:t>岗位结构</w:t>
      </w:r>
      <w:r>
        <w:rPr>
          <w:rFonts w:hint="eastAsia"/>
          <w:lang w:eastAsia="zh-CN"/>
        </w:rPr>
        <w:t>管理情况总结</w:t>
      </w:r>
    </w:p>
    <w:p w14:paraId="5B199412">
      <w:pPr>
        <w:pStyle w:val="29"/>
        <w:bidi w:val="0"/>
        <w:rPr>
          <w:rFonts w:hint="default"/>
        </w:rPr>
      </w:pPr>
      <w:r>
        <w:rPr>
          <w:rFonts w:hint="default"/>
        </w:rPr>
        <w:t>年初制定的组织架构与岗位设置计划已全面落地执行。</w:t>
      </w:r>
    </w:p>
    <w:p w14:paraId="56C38D05">
      <w:pPr>
        <w:pStyle w:val="29"/>
        <w:bidi w:val="0"/>
        <w:rPr>
          <w:rFonts w:hint="default"/>
        </w:rPr>
      </w:pPr>
    </w:p>
    <w:p w14:paraId="02B13BA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资源管理情况总结</w:t>
      </w:r>
    </w:p>
    <w:p w14:paraId="62C179F2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运维工具管理情况总结</w:t>
      </w:r>
    </w:p>
    <w:p w14:paraId="188BF488">
      <w:pPr>
        <w:pStyle w:val="29"/>
        <w:bidi w:val="0"/>
      </w:pPr>
      <w:r>
        <w:t>2025 年建立运维服务管理体系制度，各项管理初步实现通过运维工具进行管理。</w:t>
      </w:r>
    </w:p>
    <w:p w14:paraId="47B5FAA1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加强了流程管理工具的改进工作：收集使用意见，对工具进行了部分改进，提高了工具的实用性；</w:t>
      </w:r>
    </w:p>
    <w:p w14:paraId="30B427D3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加强了自动化管理工具的应用 ：对主要的运维工程师加强了自动化管理工具的培训，提升了操作能力。</w:t>
      </w:r>
    </w:p>
    <w:p w14:paraId="629CBF4B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2025年6月对运维工具进行了一次自评估，达到设定目标</w:t>
      </w:r>
    </w:p>
    <w:p w14:paraId="2AFB0C2A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服务台管理情况总结</w:t>
      </w:r>
    </w:p>
    <w:p w14:paraId="37788D2C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台专员严格执行《服务台管理制度》和《服务台操作手册》，作为一线人员及时对客户疑问进行解答，极大的提高了客户满意度，经过满意度调查得知，截止2025年8月，客户满意度得分为97.4分，达到客户满意度指标要求的95.5分。</w:t>
      </w:r>
    </w:p>
    <w:p w14:paraId="297D39AC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服务台专员及时、主动对事件进行回访，据统计，截止到8月成功回访事件覆盖率达到80%，并且没有客户投诉。</w:t>
      </w:r>
    </w:p>
    <w:p w14:paraId="0DD11F94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备件库管理情况总结</w:t>
      </w:r>
    </w:p>
    <w:p w14:paraId="22E48A42">
      <w:pPr>
        <w:pStyle w:val="29"/>
        <w:bidi w:val="0"/>
        <w:rPr>
          <w:rFonts w:hint="default"/>
          <w:lang w:val="en-US" w:eastAsia="zh-CN"/>
        </w:rPr>
      </w:pPr>
      <w:r>
        <w:t>2025年，公司持续加强备件库的规范化管理，将其作为保障运维服务连续性与响应效率的重要基础。通过完善库存管理制度、推行定期盘点机制及强化流程执行，本年度各季度备件库盘点准确率均保持在95%以上，达到既定质量目标，有效支持了一线运维工作的顺利开展。</w:t>
      </w:r>
    </w:p>
    <w:p w14:paraId="58C918DE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服务知识管理情况总结</w:t>
      </w:r>
    </w:p>
    <w:p w14:paraId="70BE3E8D">
      <w:pPr>
        <w:pStyle w:val="29"/>
        <w:bidi w:val="0"/>
      </w:pPr>
      <w:r>
        <w:t>2025 年重点加强了知识库管理工作：</w:t>
      </w:r>
    </w:p>
    <w:p w14:paraId="78A03B1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补充内容，提升质量：组织各个项目组对知识库的信息架构进行梳理，提升结构的合理性，对于通用知识，组织进行集中录入，规范入库管理和知识审核；知识分类覆盖率第一季度达到 96%，第二季度达到 95%达到目标≥90%的要求。</w:t>
      </w:r>
    </w:p>
    <w:p w14:paraId="19F75DDD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建立了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服务知识管理制度</w:t>
      </w:r>
      <w:r>
        <w:rPr>
          <w:rFonts w:hint="eastAsia"/>
          <w:lang w:eastAsia="zh-CN"/>
        </w:rPr>
        <w:t>》</w:t>
      </w:r>
      <w:r>
        <w:t>，并使用运维工具知识库管理平台，加强对知识库的管理工作；</w:t>
      </w:r>
    </w:p>
    <w:p w14:paraId="00618700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增加了45 条知识，问题的解决办法也全部收录在知识库中，并对知识条目进行分类，以便员工查阅。</w:t>
      </w:r>
    </w:p>
    <w:p w14:paraId="57062EF2">
      <w:pPr>
        <w:rPr>
          <w:rFonts w:hint="eastAsia"/>
          <w:lang w:val="en-US" w:eastAsia="zh-CN"/>
        </w:rPr>
      </w:pPr>
    </w:p>
    <w:p w14:paraId="6A1545EC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最终软件库管理情况总结</w:t>
      </w:r>
    </w:p>
    <w:p w14:paraId="2A86B54D">
      <w:pPr>
        <w:pStyle w:val="29"/>
        <w:bidi w:val="0"/>
      </w:pPr>
      <w:r>
        <w:t>2025 年重点加强了最终软件库管理工作：</w:t>
      </w:r>
    </w:p>
    <w:p w14:paraId="4106106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规范了入库审核，运维部制定《软件入库审核标准》，明确功能测试、安全漏洞扫描、兼容性验证等必检项目，只有全部达标方可入库。</w:t>
      </w:r>
      <w:r>
        <w:rPr>
          <w:rFonts w:hint="eastAsia"/>
          <w:lang w:val="en-US" w:eastAsia="zh-CN"/>
        </w:rPr>
        <w:t>运维部经理审核</w:t>
      </w:r>
      <w:r>
        <w:t>，对入库软件进行全流程把关，留存测试报告及审核记录，确保可追溯。</w:t>
      </w:r>
    </w:p>
    <w:p w14:paraId="3AE1212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软件库中软件的可用率达到了98%。</w:t>
      </w:r>
    </w:p>
    <w:p w14:paraId="70EC9153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服务数据管理情况总结</w:t>
      </w:r>
    </w:p>
    <w:p w14:paraId="5CF930BD">
      <w:pPr>
        <w:pStyle w:val="29"/>
        <w:bidi w:val="0"/>
      </w:pPr>
      <w:r>
        <w:t>2025 年重点加强了服务数据管理工作：</w:t>
      </w:r>
    </w:p>
    <w:p w14:paraId="31EA7CEE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规范采集源头：制定统一的《</w:t>
      </w:r>
      <w:r>
        <w:rPr>
          <w:rFonts w:hint="eastAsia"/>
          <w:lang w:val="en-US" w:eastAsia="zh-CN"/>
        </w:rPr>
        <w:t>服务数据管理制度</w:t>
      </w:r>
      <w:r>
        <w:t>》，明确监控数据、故障记录、工单处理等各类数据的录入格式、必填字段。</w:t>
      </w:r>
    </w:p>
    <w:p w14:paraId="614C55C2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对运维</w:t>
      </w:r>
      <w:r>
        <w:rPr>
          <w:rFonts w:hint="eastAsia"/>
          <w:lang w:val="en-US" w:eastAsia="zh-CN"/>
        </w:rPr>
        <w:t>服务</w:t>
      </w:r>
      <w:r>
        <w:t>人员开展了专项培训，结合实际案例讲解标准要求，考核合格后方可参与数据采集，从源头减少错误。</w:t>
      </w:r>
      <w:r>
        <w:rPr>
          <w:rFonts w:hint="eastAsia"/>
          <w:lang w:val="en-US" w:eastAsia="zh-CN"/>
        </w:rPr>
        <w:t>截止</w:t>
      </w:r>
      <w:r>
        <w:t>2025年</w:t>
      </w:r>
      <w:r>
        <w:rPr>
          <w:rFonts w:hint="eastAsia"/>
          <w:lang w:val="en-US" w:eastAsia="zh-CN"/>
        </w:rPr>
        <w:t>8月</w:t>
      </w:r>
      <w:r>
        <w:t>服务数据的准确率达到 99%。</w:t>
      </w:r>
    </w:p>
    <w:p w14:paraId="5DF121A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技术管理情况总结</w:t>
      </w:r>
    </w:p>
    <w:p w14:paraId="464E4B88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930"/>
        <w:gridCol w:w="3086"/>
        <w:gridCol w:w="1417"/>
        <w:gridCol w:w="1417"/>
      </w:tblGrid>
      <w:tr w14:paraId="1C63F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3F0CD01E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5" w:type="dxa"/>
            <w:vAlign w:val="top"/>
          </w:tcPr>
          <w:p w14:paraId="45653BC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任务阶段</w:t>
            </w:r>
          </w:p>
        </w:tc>
        <w:tc>
          <w:tcPr>
            <w:tcW w:w="3749" w:type="dxa"/>
            <w:vAlign w:val="top"/>
          </w:tcPr>
          <w:p w14:paraId="0842BC91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任务内容</w:t>
            </w:r>
          </w:p>
        </w:tc>
        <w:tc>
          <w:tcPr>
            <w:tcW w:w="1694" w:type="dxa"/>
            <w:vAlign w:val="top"/>
          </w:tcPr>
          <w:p w14:paraId="3EC97C86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计划时间</w:t>
            </w:r>
          </w:p>
        </w:tc>
        <w:tc>
          <w:tcPr>
            <w:tcW w:w="1694" w:type="dxa"/>
            <w:vAlign w:val="top"/>
          </w:tcPr>
          <w:p w14:paraId="2E294FAE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 w14:paraId="774A6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3D8BA38C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Align w:val="top"/>
          </w:tcPr>
          <w:p w14:paraId="5F9CD5FE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749" w:type="dxa"/>
            <w:vAlign w:val="top"/>
          </w:tcPr>
          <w:p w14:paraId="5DC1EFC5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7F9753AC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694" w:type="dxa"/>
            <w:vAlign w:val="top"/>
          </w:tcPr>
          <w:p w14:paraId="70EE0FB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694" w:type="dxa"/>
            <w:vAlign w:val="top"/>
          </w:tcPr>
          <w:p w14:paraId="39C8433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1808E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04CFA60E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Align w:val="top"/>
          </w:tcPr>
          <w:p w14:paraId="335912C1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749" w:type="dxa"/>
            <w:vAlign w:val="top"/>
          </w:tcPr>
          <w:p w14:paraId="41958DCA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694" w:type="dxa"/>
            <w:vAlign w:val="top"/>
          </w:tcPr>
          <w:p w14:paraId="71B7152C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694" w:type="dxa"/>
            <w:vAlign w:val="top"/>
          </w:tcPr>
          <w:p w14:paraId="19639CF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DF88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45378FE2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Align w:val="top"/>
          </w:tcPr>
          <w:p w14:paraId="6C77C86C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749" w:type="dxa"/>
            <w:vAlign w:val="top"/>
          </w:tcPr>
          <w:p w14:paraId="58E8C4DD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</w:pPr>
            <w:r>
              <w:t>组建小组；</w:t>
            </w:r>
          </w:p>
          <w:p w14:paraId="1C84BDB0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712C36A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694" w:type="dxa"/>
            <w:vAlign w:val="top"/>
          </w:tcPr>
          <w:p w14:paraId="4DBDCAC0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694" w:type="dxa"/>
            <w:vAlign w:val="top"/>
          </w:tcPr>
          <w:p w14:paraId="5AE8E70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5C23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61332DC8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restart"/>
            <w:vAlign w:val="top"/>
          </w:tcPr>
          <w:p w14:paraId="3C35291D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749" w:type="dxa"/>
            <w:vAlign w:val="top"/>
          </w:tcPr>
          <w:p w14:paraId="1E180E04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694" w:type="dxa"/>
            <w:vAlign w:val="top"/>
          </w:tcPr>
          <w:p w14:paraId="610803D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694" w:type="dxa"/>
            <w:vAlign w:val="top"/>
          </w:tcPr>
          <w:p w14:paraId="25C788D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7522E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0507E1EE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  <w:vAlign w:val="top"/>
          </w:tcPr>
          <w:p w14:paraId="29675FE8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  <w:vAlign w:val="top"/>
          </w:tcPr>
          <w:p w14:paraId="2ABF6873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694" w:type="dxa"/>
            <w:vAlign w:val="top"/>
          </w:tcPr>
          <w:p w14:paraId="69BDB16F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694" w:type="dxa"/>
            <w:vAlign w:val="top"/>
          </w:tcPr>
          <w:p w14:paraId="50BD2578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322F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477B1F63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  <w:vAlign w:val="top"/>
          </w:tcPr>
          <w:p w14:paraId="6A1B1A3C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  <w:vAlign w:val="top"/>
          </w:tcPr>
          <w:p w14:paraId="1805E0D2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694" w:type="dxa"/>
            <w:vAlign w:val="top"/>
          </w:tcPr>
          <w:p w14:paraId="7DF89481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694" w:type="dxa"/>
            <w:vAlign w:val="top"/>
          </w:tcPr>
          <w:p w14:paraId="4A90709C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1BA24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4D8C3D55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  <w:vAlign w:val="top"/>
          </w:tcPr>
          <w:p w14:paraId="57B07ED1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  <w:vAlign w:val="top"/>
          </w:tcPr>
          <w:p w14:paraId="311E65DE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694" w:type="dxa"/>
            <w:vAlign w:val="top"/>
          </w:tcPr>
          <w:p w14:paraId="4DAFC25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694" w:type="dxa"/>
            <w:vAlign w:val="top"/>
          </w:tcPr>
          <w:p w14:paraId="432BD3C9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72F6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779ACEE4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  <w:vAlign w:val="top"/>
          </w:tcPr>
          <w:p w14:paraId="24F04E8E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  <w:vAlign w:val="top"/>
          </w:tcPr>
          <w:p w14:paraId="77EDCBE6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694" w:type="dxa"/>
            <w:vAlign w:val="top"/>
          </w:tcPr>
          <w:p w14:paraId="53A136F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694" w:type="dxa"/>
            <w:vAlign w:val="top"/>
          </w:tcPr>
          <w:p w14:paraId="3ED5008D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743D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54" w:type="dxa"/>
            <w:vAlign w:val="top"/>
          </w:tcPr>
          <w:p w14:paraId="701D11F1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Align w:val="top"/>
          </w:tcPr>
          <w:p w14:paraId="5CAC65A1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749" w:type="dxa"/>
            <w:vAlign w:val="top"/>
          </w:tcPr>
          <w:p w14:paraId="29514273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694" w:type="dxa"/>
            <w:vAlign w:val="top"/>
          </w:tcPr>
          <w:p w14:paraId="22629CD3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  <w:tc>
          <w:tcPr>
            <w:tcW w:w="1694" w:type="dxa"/>
            <w:vAlign w:val="top"/>
          </w:tcPr>
          <w:p w14:paraId="1820A3B1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7BA3E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54" w:type="dxa"/>
            <w:vAlign w:val="top"/>
          </w:tcPr>
          <w:p w14:paraId="6D3D5459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Align w:val="top"/>
          </w:tcPr>
          <w:p w14:paraId="55303A4F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749" w:type="dxa"/>
            <w:vAlign w:val="top"/>
          </w:tcPr>
          <w:p w14:paraId="27179E4C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694" w:type="dxa"/>
            <w:vAlign w:val="top"/>
          </w:tcPr>
          <w:p w14:paraId="5915FC84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  <w:tc>
          <w:tcPr>
            <w:tcW w:w="1694" w:type="dxa"/>
            <w:vAlign w:val="top"/>
          </w:tcPr>
          <w:p w14:paraId="108ECDDA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 w14:paraId="62DFD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 w14:paraId="661E56A9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Align w:val="top"/>
          </w:tcPr>
          <w:p w14:paraId="0BC0CA1D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749" w:type="dxa"/>
            <w:vAlign w:val="top"/>
          </w:tcPr>
          <w:p w14:paraId="63B97A66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694" w:type="dxa"/>
            <w:vAlign w:val="top"/>
          </w:tcPr>
          <w:p w14:paraId="686BAE8C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  <w:tc>
          <w:tcPr>
            <w:tcW w:w="1694" w:type="dxa"/>
            <w:vAlign w:val="top"/>
          </w:tcPr>
          <w:p w14:paraId="0773052A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 w14:paraId="2CAFB005">
      <w:pPr>
        <w:pStyle w:val="29"/>
        <w:bidi w:val="0"/>
        <w:rPr>
          <w:rFonts w:hint="eastAsia"/>
          <w:lang w:eastAsia="zh-CN"/>
        </w:rPr>
      </w:pPr>
      <w:r>
        <w:t>截止2025年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28</w:t>
      </w:r>
      <w:r>
        <w:t>日，</w:t>
      </w:r>
      <w:r>
        <w:rPr>
          <w:rFonts w:hint="eastAsia"/>
          <w:lang w:eastAsia="zh-CN"/>
        </w:rPr>
        <w:t>研发部</w:t>
      </w:r>
      <w:r>
        <w:t>和运维部按时完成了工作计划，</w:t>
      </w:r>
      <w:r>
        <w:rPr>
          <w:rFonts w:hint="eastAsia"/>
          <w:lang w:val="en-US" w:eastAsia="zh-CN"/>
        </w:rPr>
        <w:t>禅道项目管理系统升级进度正常。</w:t>
      </w:r>
      <w:r>
        <w:t>技术研发年度规划预算为</w:t>
      </w:r>
      <w:r>
        <w:rPr>
          <w:rFonts w:hint="eastAsia"/>
          <w:lang w:val="en-US" w:eastAsia="zh-CN"/>
        </w:rPr>
        <w:t>27</w:t>
      </w:r>
      <w:r>
        <w:t>万元，到目前预算总体执行情况良好，实际使用研发资金</w:t>
      </w:r>
      <w:r>
        <w:rPr>
          <w:rFonts w:hint="eastAsia"/>
          <w:lang w:val="en-US" w:eastAsia="zh-CN"/>
        </w:rPr>
        <w:t>23.2</w:t>
      </w:r>
      <w:r>
        <w:t>万元，</w:t>
      </w:r>
      <w:r>
        <w:rPr>
          <w:rFonts w:hint="eastAsia"/>
          <w:lang w:val="en-US" w:eastAsia="zh-CN"/>
        </w:rPr>
        <w:t>鉴于后期是BUG修复阶段，总体费用降低，认为</w:t>
      </w:r>
      <w:r>
        <w:t>满足研发资金投入率≥85%的要求。无预算超支情况</w:t>
      </w:r>
      <w:r>
        <w:rPr>
          <w:rFonts w:hint="eastAsia"/>
          <w:lang w:eastAsia="zh-CN"/>
        </w:rPr>
        <w:t>。</w:t>
      </w:r>
    </w:p>
    <w:p w14:paraId="6A1E8854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研发成果总结：禅道项目管理系统研发进度正常，研发手册3本。</w:t>
      </w:r>
    </w:p>
    <w:p w14:paraId="245CCDD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过程挂你情况总结</w:t>
      </w:r>
    </w:p>
    <w:p w14:paraId="17EF86D2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过程框架设计管理情况总结</w:t>
      </w:r>
    </w:p>
    <w:p w14:paraId="54B76383">
      <w:pPr>
        <w:pStyle w:val="29"/>
        <w:bidi w:val="0"/>
      </w:pPr>
      <w:r>
        <w:rPr>
          <w:rFonts w:hint="eastAsia"/>
          <w:lang w:val="en-US" w:eastAsia="zh-CN"/>
        </w:rPr>
        <w:t>截止2025年8月</w:t>
      </w:r>
      <w:r>
        <w:t>过程框架设计管理主要完成了以下工作：</w:t>
      </w:r>
    </w:p>
    <w:p w14:paraId="1F474CF6">
      <w:pPr>
        <w:pStyle w:val="29"/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完成过程框架设计管理框架优化工作：根据调研结果，每季度对过程框架进行优化调整。所有项目过程框架设计与服务需求的匹配率均为≥85% 。</w:t>
      </w:r>
    </w:p>
    <w:p w14:paraId="72B8BA9F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服务级别管理情况总结</w:t>
      </w:r>
    </w:p>
    <w:p w14:paraId="475408C6">
      <w:pPr>
        <w:pStyle w:val="29"/>
        <w:bidi w:val="0"/>
      </w:pPr>
      <w:r>
        <w:rPr>
          <w:rFonts w:hint="eastAsia"/>
          <w:lang w:val="en-US" w:eastAsia="zh-CN"/>
        </w:rPr>
        <w:t>截止2025年8月</w:t>
      </w:r>
      <w:r>
        <w:t>服务级别管理主要完成了以下工作：</w:t>
      </w:r>
    </w:p>
    <w:p w14:paraId="07DBC691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服务级别管理工作达标。所有项目的服务级别达成率均为100%。SLA 达成情况按时监控率为100%，未达成指标分析并制定改进措施比率100%，运维服务目录通过会签审批；</w:t>
      </w:r>
    </w:p>
    <w:p w14:paraId="4931AC87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服务级别协议的监测工作：各个项目在运维工作中，对涉及影响服务级别指标的事件进行每个月的跟踪并记录；</w:t>
      </w:r>
    </w:p>
    <w:p w14:paraId="380BD53B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服务级别协议的量化工作：部分项目组的服务级别协议条款还存在着不容易量化的问题，促成甲方修改了部分服务级别协议，使服务级别协议的达成情况方便测量与记录。</w:t>
      </w:r>
    </w:p>
    <w:p w14:paraId="1DC3A107">
      <w:pPr>
        <w:pStyle w:val="29"/>
        <w:bidi w:val="0"/>
        <w:rPr>
          <w:rFonts w:hint="eastAsia"/>
          <w:lang w:val="en-US" w:eastAsia="zh-CN"/>
        </w:rPr>
      </w:pPr>
    </w:p>
    <w:p w14:paraId="1443AF09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服务报告管理情况总结</w:t>
      </w:r>
    </w:p>
    <w:p w14:paraId="2136D970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t>2025年8月，服务报告管理工作顺利完成，主要完成以下工作：</w:t>
      </w:r>
    </w:p>
    <w:p w14:paraId="1DD0EF7A">
      <w:pPr>
        <w:pStyle w:val="29"/>
        <w:numPr>
          <w:ilvl w:val="0"/>
          <w:numId w:val="13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服务报告管理工作全面达标，服务报告按时交付率与审核率均达到100%；</w:t>
      </w:r>
    </w:p>
    <w:p w14:paraId="3E31D834">
      <w:pPr>
        <w:pStyle w:val="29"/>
        <w:numPr>
          <w:ilvl w:val="0"/>
          <w:numId w:val="13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进一步加强服务事件的统计与分析工作，针对各运维对象的事件与性能状况开展系统化统计，注重对数据的多维度分析和解读，并提出改进建议，摒弃简单罗列数据的流水账式记录方式；</w:t>
      </w:r>
    </w:p>
    <w:p w14:paraId="251D3510">
      <w:pPr>
        <w:pStyle w:val="29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default"/>
        </w:rPr>
        <w:t>在当月服务报告中增设项目运行整体综述模块，对运维工作情况作出系统总结，重点归纳典型问题与风险，并对该月项目运行状态予以结论性评价。</w:t>
      </w:r>
    </w:p>
    <w:p w14:paraId="7B055C27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事件管理情况总结</w:t>
      </w:r>
    </w:p>
    <w:p w14:paraId="4309A5B4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2025年8月，事件管理工作达成预期目标，具体完成情况如下：</w:t>
      </w:r>
    </w:p>
    <w:p w14:paraId="05BDDE9D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共处理事件53起，事件及时响应率≥95%，一线解决率≥15%，一次现场解决率≥80%。</w:t>
      </w:r>
    </w:p>
    <w:p w14:paraId="7608CADE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进一步加强事件记录的深度分析，开展多维度、结构化的事件数据分析工作，为运维决策和业务支持提供有效数据支撑。</w:t>
      </w:r>
    </w:p>
    <w:p w14:paraId="60487430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持续推进事件单分类模式优化，完善事件统计维度设计，提升事件数据统计的灵活性与分析粒度</w:t>
      </w:r>
    </w:p>
    <w:p w14:paraId="167FD395">
      <w:pPr>
        <w:rPr>
          <w:rFonts w:hint="eastAsia"/>
          <w:lang w:val="en-US" w:eastAsia="zh-CN"/>
        </w:rPr>
      </w:pPr>
    </w:p>
    <w:p w14:paraId="5B460308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问题管理情况总结</w:t>
      </w:r>
    </w:p>
    <w:p w14:paraId="370D884E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2025年8月，问题管理工作达成预期目标，具体完成情况如下：</w:t>
      </w:r>
    </w:p>
    <w:p w14:paraId="4DECE752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共处理问题16起，发生三次同类事件分析率≥90%，问题处理及时率达到100%。</w:t>
      </w:r>
    </w:p>
    <w:p w14:paraId="50F2D2C0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持续加强问题管理流程与事件管理、服务级别管理等流程的有效协同，通过机制化联动提升问题管理的整体价值与实效。</w:t>
      </w:r>
    </w:p>
    <w:p w14:paraId="503BE175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积极推进问题管理流程优化，针对各项目组在问题流程执行中存在的差异与瓶颈开展持续改进，完善闭环管理机制。</w:t>
      </w:r>
    </w:p>
    <w:p w14:paraId="09AF49AA">
      <w:pPr>
        <w:rPr>
          <w:rFonts w:hint="eastAsia"/>
          <w:lang w:val="en-US" w:eastAsia="zh-CN"/>
        </w:rPr>
      </w:pPr>
    </w:p>
    <w:p w14:paraId="01764079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变更管理情况总结</w:t>
      </w:r>
    </w:p>
    <w:p w14:paraId="23EBDD39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2025年8月，变更管理工作达成预期目标，具体完成情况如下：</w:t>
      </w:r>
    </w:p>
    <w:p w14:paraId="7C0B5488">
      <w:pPr>
        <w:pStyle w:val="29"/>
        <w:numPr>
          <w:ilvl w:val="0"/>
          <w:numId w:val="1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共执行变更4次，其中配置变更2次，应用系统变更2次，变更成功率≥95%，紧急变更比率&lt;10%。</w:t>
      </w:r>
    </w:p>
    <w:p w14:paraId="3DD08EC1">
      <w:pPr>
        <w:pStyle w:val="29"/>
        <w:numPr>
          <w:ilvl w:val="0"/>
          <w:numId w:val="1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持续加强变更记录的完整性与规范性，重点强化对回退计划的质量监督与审核，确保各项变更均具备可行、可靠的恢复预案，有效规避因回退计划缺失或不足导致的运维风险。</w:t>
      </w:r>
    </w:p>
    <w:p w14:paraId="5F3FDCA6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发布管理情况总结</w:t>
      </w:r>
    </w:p>
    <w:p w14:paraId="007CB87E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</w:t>
      </w:r>
      <w:r>
        <w:rPr>
          <w:rFonts w:hint="eastAsia"/>
          <w:lang w:val="en-US" w:eastAsia="zh-CN"/>
        </w:rPr>
        <w:t>8月</w:t>
      </w:r>
      <w:r>
        <w:rPr>
          <w:rFonts w:hint="default"/>
        </w:rPr>
        <w:t>发布管理工作达成预期目标，具体完成情况如下：</w:t>
      </w:r>
    </w:p>
    <w:p w14:paraId="174AB4BC">
      <w:pPr>
        <w:pStyle w:val="29"/>
        <w:bidi w:val="0"/>
        <w:rPr>
          <w:rFonts w:hint="default"/>
        </w:rPr>
      </w:pPr>
      <w:r>
        <w:rPr>
          <w:rFonts w:hint="default"/>
        </w:rPr>
        <w:t>共实施4次软件版本升级发布，所有发布申请均通过审批并成功上线，发布实施成功率达100%，超过95%的指标体系要求，全面满足服务等级协议（SLA）相关标准。</w:t>
      </w:r>
    </w:p>
    <w:p w14:paraId="3F6F2C45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配置管理情况总结</w:t>
      </w:r>
    </w:p>
    <w:p w14:paraId="6DCAD9E1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2025年8月，配置管理工作按计划推进并达成预期目标，具体完成情况如下：</w:t>
      </w:r>
    </w:p>
    <w:p w14:paraId="43A6A242">
      <w:pPr>
        <w:pStyle w:val="29"/>
        <w:numPr>
          <w:ilvl w:val="0"/>
          <w:numId w:val="17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公司持续完善配置管理制度体系，相关要求全面落实执行。组织开展了配置数据专项审计，统计结果显示：各项目配置项更新时间达标率不低于90%，配置管理数据库抽查准确率达到98%以上，各项指标均符合既定要求。</w:t>
      </w:r>
    </w:p>
    <w:p w14:paraId="3F151F3B">
      <w:pPr>
        <w:pStyle w:val="29"/>
        <w:numPr>
          <w:ilvl w:val="0"/>
          <w:numId w:val="17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通过强化数据维护与审核机制，有效保障了配置库数据的准确性与可靠性，为运维服务提供坚实的数据基础。</w:t>
      </w:r>
    </w:p>
    <w:p w14:paraId="499D0B55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服务可用性和连续性管理总结</w:t>
      </w:r>
    </w:p>
    <w:p w14:paraId="317B51B0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2025年8月，服务可用性与连续性管理持续强化，主要工作成果如下：</w:t>
      </w:r>
    </w:p>
    <w:p w14:paraId="0E53B795">
      <w:pPr>
        <w:pStyle w:val="29"/>
        <w:bidi w:val="0"/>
        <w:rPr>
          <w:rFonts w:hint="default"/>
        </w:rPr>
      </w:pPr>
      <w:r>
        <w:rPr>
          <w:rFonts w:hint="default"/>
        </w:rPr>
        <w:t>系统监控体系进一步完善，系统可用率稳定在98%以上。平台故障反馈入口持续优化，确保用户能够快速、便捷地进行故障上报。7×24小时故障响应团队有效运转，保障了突发事件的及时响应与处置。</w:t>
      </w:r>
    </w:p>
    <w:p w14:paraId="38D37A40">
      <w:pPr>
        <w:rPr>
          <w:rFonts w:hint="eastAsia"/>
          <w:lang w:val="en-US" w:eastAsia="zh-CN"/>
        </w:rPr>
      </w:pPr>
    </w:p>
    <w:p w14:paraId="6F5928CF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容量管理情况总结</w:t>
      </w:r>
    </w:p>
    <w:p w14:paraId="11A26AA6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2025年8月，系统容量管理持续开展精细化运营，主要工作情况如下：</w:t>
      </w:r>
    </w:p>
    <w:p w14:paraId="4B6404FA">
      <w:pPr>
        <w:pStyle w:val="29"/>
        <w:bidi w:val="0"/>
        <w:rPr>
          <w:rFonts w:hint="default"/>
        </w:rPr>
      </w:pPr>
      <w:r>
        <w:rPr>
          <w:rFonts w:hint="default"/>
        </w:rPr>
        <w:t>持续对潜在容量风险进行监控与分析，完善事件预案及处置流程记录机制。按计划组织召开季度容量分析会议，总结阶段性经验并优化管理策略与流程。未发生因容量原因导致的事件。</w:t>
      </w:r>
    </w:p>
    <w:p w14:paraId="73293191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信息安全管理总结</w:t>
      </w:r>
    </w:p>
    <w:p w14:paraId="71A48AA5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2025年8月，信息安全管理工作有效推进，主要完成以下工作：</w:t>
      </w:r>
    </w:p>
    <w:p w14:paraId="0F60C437">
      <w:pPr>
        <w:pStyle w:val="29"/>
        <w:numPr>
          <w:ilvl w:val="0"/>
          <w:numId w:val="18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未发生客户信息泄露事件，未出现信息安全事故导致的客户投诉，各项指标符合运维服务能力管理要求；</w:t>
      </w:r>
    </w:p>
    <w:p w14:paraId="62F6B28B">
      <w:pPr>
        <w:pStyle w:val="29"/>
        <w:numPr>
          <w:ilvl w:val="0"/>
          <w:numId w:val="18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系统推进信息安全防护工具使用培训，强化项目组成员实操能力与风险防控水平，从源头防范因技能不足引发的安全隐患；组织开展最新安全法规及管理制度专项培训，全面提升全员安全意识和合规操作能力。</w:t>
      </w:r>
    </w:p>
    <w:p w14:paraId="003EA4A1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</w:t>
      </w:r>
    </w:p>
    <w:p w14:paraId="39439D5C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推进服务交付管理制度的优化与实施工作。依据既定交付管理制度及SLA要求，结合客户需求分析，制定了相应的交付方案并严格按方案执行，确保各项交付记录按时完成。统计显示，交付及时率≥95%，远程交付确认率≥97%，例行操作记录完整率≥95%，各项指标均达到目标要求。</w:t>
      </w:r>
    </w:p>
    <w:p w14:paraId="568508E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</w:t>
      </w:r>
    </w:p>
    <w:p w14:paraId="455F6255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2025年8月，公司持续完善应急响应管理体系，严格依据《</w:t>
      </w:r>
      <w:r>
        <w:rPr>
          <w:rFonts w:hint="eastAsia"/>
          <w:lang w:val="en-US" w:eastAsia="zh-CN"/>
        </w:rPr>
        <w:t>组织级</w:t>
      </w:r>
      <w:r>
        <w:t>应急管理制度》及《运维服务能力管理</w:t>
      </w:r>
      <w:r>
        <w:rPr>
          <w:rFonts w:hint="eastAsia"/>
          <w:lang w:val="en-US" w:eastAsia="zh-CN"/>
        </w:rPr>
        <w:t>计划</w:t>
      </w:r>
      <w:r>
        <w:t>》开展各项工作。有效落实应急响应机制，健全应急响应组织，优化应急预案内容，并针对各运维项目制定了相应的应急管理办法。组织完成一次专项应急演练，应急预案覆盖率和及时响应率均达到既定目标要求。</w:t>
      </w:r>
    </w:p>
    <w:p w14:paraId="71CE991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</w:t>
      </w:r>
    </w:p>
    <w:p w14:paraId="7F3C4DF0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运维服务质量内部审核</w:t>
      </w:r>
    </w:p>
    <w:p w14:paraId="6BE91802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在2025年8月进行了一次内部审核，发现了一个不符合项，为一般不符合，已经由相关人员进行改正，质量部进行确认。</w:t>
      </w:r>
    </w:p>
    <w:p w14:paraId="04F9E5DC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运维服务质量管理评审</w:t>
      </w:r>
    </w:p>
    <w:p w14:paraId="60112B38">
      <w:pPr>
        <w:pStyle w:val="29"/>
        <w:bidi w:val="0"/>
        <w:rPr>
          <w:rFonts w:hint="default"/>
          <w:lang w:val="en-US" w:eastAsia="zh-CN"/>
        </w:rPr>
      </w:pPr>
      <w:r>
        <w:t>于202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20日</w:t>
      </w:r>
      <w:r>
        <w:t>进行</w:t>
      </w:r>
      <w:r>
        <w:rPr>
          <w:rFonts w:hint="eastAsia"/>
          <w:lang w:val="en-US" w:eastAsia="zh-CN"/>
        </w:rPr>
        <w:t>管评工作。</w:t>
      </w:r>
      <w:r>
        <w:t>全面的总结了公司运维能力体系的运行情况，肯定了2025年质量管理体系运行的适宜性、有效性。通过这次管理评审，总结了经验，将更有力的推动公司持续发展。</w:t>
      </w:r>
    </w:p>
    <w:p w14:paraId="60A59ECF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客户满意度调查及分析</w:t>
      </w:r>
    </w:p>
    <w:p w14:paraId="0D731F39">
      <w:pPr>
        <w:pStyle w:val="29"/>
        <w:bidi w:val="0"/>
      </w:pPr>
      <w:r>
        <w:t>对已统计的用户满意度调查问卷结果进行分析，</w:t>
      </w:r>
      <w:r>
        <w:rPr>
          <w:rFonts w:hint="eastAsia"/>
          <w:lang w:val="en-US" w:eastAsia="zh-CN"/>
        </w:rPr>
        <w:t>截至</w:t>
      </w:r>
      <w:r>
        <w:t>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8月</w:t>
      </w:r>
      <w:r>
        <w:t>运维服务业务总体的客户满意度平均分为</w:t>
      </w:r>
      <w:r>
        <w:rPr>
          <w:rFonts w:hint="eastAsia"/>
          <w:lang w:val="en-US" w:eastAsia="zh-CN"/>
        </w:rPr>
        <w:t>97.4</w:t>
      </w:r>
      <w:r>
        <w:t>分，通过调查分数以及客户提出的改进意见，质量中心发现运维服务过程中有提高的空间。</w:t>
      </w:r>
    </w:p>
    <w:p w14:paraId="1F50EF60">
      <w:pPr>
        <w:pStyle w:val="29"/>
        <w:rPr>
          <w:rFonts w:hint="default"/>
          <w:lang w:val="en-US" w:eastAsia="zh-CN"/>
        </w:rPr>
      </w:pPr>
    </w:p>
    <w:p w14:paraId="564C7ECE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服务能力改进</w:t>
      </w:r>
    </w:p>
    <w:p w14:paraId="262F71B3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针对内部审核发现的不符合项，有计划性的进行培训。针对客户提出的改进意见积极归纳总结。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" w:name="bookmark3"/>
      <w:bookmarkEnd w:id="2"/>
      <w:bookmarkStart w:id="3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3"/>
    </w:p>
    <w:p w14:paraId="17535BAC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4" w:name="bookmark14"/>
      <w:bookmarkEnd w:id="4"/>
      <w:r>
        <w:rPr>
          <w:rFonts w:hint="eastAsia"/>
          <w:lang w:val="en-US" w:eastAsia="zh-CN"/>
        </w:rPr>
        <w:t>附件</w:t>
      </w:r>
      <w:bookmarkStart w:id="5" w:name="_GoBack"/>
      <w:bookmarkEnd w:id="5"/>
    </w:p>
    <w:p w14:paraId="4C4C13E4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7EBE7"/>
    <w:multiLevelType w:val="singleLevel"/>
    <w:tmpl w:val="87E7EB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9032951E"/>
    <w:multiLevelType w:val="singleLevel"/>
    <w:tmpl w:val="903295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3C05C7"/>
    <w:multiLevelType w:val="singleLevel"/>
    <w:tmpl w:val="993C05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6C4A339"/>
    <w:multiLevelType w:val="singleLevel"/>
    <w:tmpl w:val="B6C4A3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7628C6B"/>
    <w:multiLevelType w:val="singleLevel"/>
    <w:tmpl w:val="B7628C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759F1A5"/>
    <w:multiLevelType w:val="singleLevel"/>
    <w:tmpl w:val="C759F1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8C9E0FF"/>
    <w:multiLevelType w:val="singleLevel"/>
    <w:tmpl w:val="E8C9E0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D772203"/>
    <w:multiLevelType w:val="singleLevel"/>
    <w:tmpl w:val="1D772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27173FB"/>
    <w:multiLevelType w:val="singleLevel"/>
    <w:tmpl w:val="327173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EF89E65"/>
    <w:multiLevelType w:val="singleLevel"/>
    <w:tmpl w:val="4EF89E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62F5956"/>
    <w:multiLevelType w:val="singleLevel"/>
    <w:tmpl w:val="562F59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C911AA6"/>
    <w:multiLevelType w:val="singleLevel"/>
    <w:tmpl w:val="7C911A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4"/>
  </w:num>
  <w:num w:numId="5">
    <w:abstractNumId w:val="11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16"/>
  </w:num>
  <w:num w:numId="13">
    <w:abstractNumId w:val="18"/>
  </w:num>
  <w:num w:numId="14">
    <w:abstractNumId w:val="8"/>
  </w:num>
  <w:num w:numId="15">
    <w:abstractNumId w:val="6"/>
  </w:num>
  <w:num w:numId="16">
    <w:abstractNumId w:val="5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B01849"/>
    <w:rsid w:val="019C21AE"/>
    <w:rsid w:val="02105DD0"/>
    <w:rsid w:val="02B21F3D"/>
    <w:rsid w:val="02BF2237"/>
    <w:rsid w:val="02D06700"/>
    <w:rsid w:val="02E44AB5"/>
    <w:rsid w:val="03870314"/>
    <w:rsid w:val="0449381C"/>
    <w:rsid w:val="045A086D"/>
    <w:rsid w:val="045E3955"/>
    <w:rsid w:val="05573D16"/>
    <w:rsid w:val="05A54A82"/>
    <w:rsid w:val="05C8669A"/>
    <w:rsid w:val="06473D8B"/>
    <w:rsid w:val="06CB1391"/>
    <w:rsid w:val="08055CAB"/>
    <w:rsid w:val="09615163"/>
    <w:rsid w:val="0A9357F1"/>
    <w:rsid w:val="0AB136B3"/>
    <w:rsid w:val="0B13248D"/>
    <w:rsid w:val="0B1F292F"/>
    <w:rsid w:val="0B930577"/>
    <w:rsid w:val="0C05627A"/>
    <w:rsid w:val="0C851169"/>
    <w:rsid w:val="0CA84E57"/>
    <w:rsid w:val="0D132C19"/>
    <w:rsid w:val="0D7D0A6D"/>
    <w:rsid w:val="0DC14423"/>
    <w:rsid w:val="0DDA2DC7"/>
    <w:rsid w:val="0E4869E6"/>
    <w:rsid w:val="0EC00B7E"/>
    <w:rsid w:val="0EE56D34"/>
    <w:rsid w:val="0F582B65"/>
    <w:rsid w:val="100912AD"/>
    <w:rsid w:val="104D4694"/>
    <w:rsid w:val="10FE045F"/>
    <w:rsid w:val="10FE14EA"/>
    <w:rsid w:val="112A43FB"/>
    <w:rsid w:val="115B4B8E"/>
    <w:rsid w:val="119775A7"/>
    <w:rsid w:val="12E724A9"/>
    <w:rsid w:val="12F077F2"/>
    <w:rsid w:val="12F928B1"/>
    <w:rsid w:val="14452A6E"/>
    <w:rsid w:val="160F7CF5"/>
    <w:rsid w:val="162C5A71"/>
    <w:rsid w:val="166B13D0"/>
    <w:rsid w:val="167A1613"/>
    <w:rsid w:val="16C265E3"/>
    <w:rsid w:val="16E42AFA"/>
    <w:rsid w:val="170C7BDF"/>
    <w:rsid w:val="175C6F6A"/>
    <w:rsid w:val="18622CA6"/>
    <w:rsid w:val="197D3D7B"/>
    <w:rsid w:val="1A264519"/>
    <w:rsid w:val="1A705206"/>
    <w:rsid w:val="1AB175CD"/>
    <w:rsid w:val="1AC27A2C"/>
    <w:rsid w:val="1B415B07"/>
    <w:rsid w:val="1B8D153C"/>
    <w:rsid w:val="1C5010EA"/>
    <w:rsid w:val="1CFA72C7"/>
    <w:rsid w:val="1D0205B4"/>
    <w:rsid w:val="1D7B4B8F"/>
    <w:rsid w:val="1DF105C1"/>
    <w:rsid w:val="1E360515"/>
    <w:rsid w:val="1E705DB5"/>
    <w:rsid w:val="20631369"/>
    <w:rsid w:val="209179EB"/>
    <w:rsid w:val="21617F9F"/>
    <w:rsid w:val="22317971"/>
    <w:rsid w:val="23C52378"/>
    <w:rsid w:val="243906F0"/>
    <w:rsid w:val="24AD52A9"/>
    <w:rsid w:val="24FE5E94"/>
    <w:rsid w:val="25096983"/>
    <w:rsid w:val="255F65A3"/>
    <w:rsid w:val="25626B9F"/>
    <w:rsid w:val="259F4BF2"/>
    <w:rsid w:val="262C093B"/>
    <w:rsid w:val="26747E2C"/>
    <w:rsid w:val="27363334"/>
    <w:rsid w:val="2743698F"/>
    <w:rsid w:val="275E288B"/>
    <w:rsid w:val="279B1602"/>
    <w:rsid w:val="28862099"/>
    <w:rsid w:val="296511D8"/>
    <w:rsid w:val="29C56BF1"/>
    <w:rsid w:val="2A0635A2"/>
    <w:rsid w:val="2AC5334C"/>
    <w:rsid w:val="2B141C1D"/>
    <w:rsid w:val="2B520958"/>
    <w:rsid w:val="2B9C4A12"/>
    <w:rsid w:val="2BC0763F"/>
    <w:rsid w:val="2C2C3FE9"/>
    <w:rsid w:val="2C332538"/>
    <w:rsid w:val="2C892158"/>
    <w:rsid w:val="2CD5423B"/>
    <w:rsid w:val="2D381E44"/>
    <w:rsid w:val="2E516CA5"/>
    <w:rsid w:val="2E9D013C"/>
    <w:rsid w:val="2F103815"/>
    <w:rsid w:val="2F135073"/>
    <w:rsid w:val="2F4A02C4"/>
    <w:rsid w:val="2FF80E15"/>
    <w:rsid w:val="301D1535"/>
    <w:rsid w:val="30D53BBD"/>
    <w:rsid w:val="31132938"/>
    <w:rsid w:val="3234700A"/>
    <w:rsid w:val="32C13470"/>
    <w:rsid w:val="32E0684A"/>
    <w:rsid w:val="33896EE1"/>
    <w:rsid w:val="34034EE6"/>
    <w:rsid w:val="34586FDF"/>
    <w:rsid w:val="35094520"/>
    <w:rsid w:val="353D7F83"/>
    <w:rsid w:val="356814A4"/>
    <w:rsid w:val="35CF78CF"/>
    <w:rsid w:val="363E0A7D"/>
    <w:rsid w:val="3649461B"/>
    <w:rsid w:val="366559E4"/>
    <w:rsid w:val="36785717"/>
    <w:rsid w:val="36E92171"/>
    <w:rsid w:val="36F25E64"/>
    <w:rsid w:val="36FA4FFE"/>
    <w:rsid w:val="37BF1626"/>
    <w:rsid w:val="384A559C"/>
    <w:rsid w:val="387F7BDC"/>
    <w:rsid w:val="38EC419A"/>
    <w:rsid w:val="39431617"/>
    <w:rsid w:val="3A3D6832"/>
    <w:rsid w:val="3AEF1D20"/>
    <w:rsid w:val="3B6E533A"/>
    <w:rsid w:val="3BAE5737"/>
    <w:rsid w:val="3C025A55"/>
    <w:rsid w:val="3C28373B"/>
    <w:rsid w:val="3C634773"/>
    <w:rsid w:val="3CB60D47"/>
    <w:rsid w:val="3CE70AA0"/>
    <w:rsid w:val="3D156FFD"/>
    <w:rsid w:val="3D695DB9"/>
    <w:rsid w:val="3DC96858"/>
    <w:rsid w:val="3E7C0C45"/>
    <w:rsid w:val="3EAB0654"/>
    <w:rsid w:val="3F2F6B8F"/>
    <w:rsid w:val="3F4563B2"/>
    <w:rsid w:val="3F5A203E"/>
    <w:rsid w:val="410A1661"/>
    <w:rsid w:val="41566655"/>
    <w:rsid w:val="419158DF"/>
    <w:rsid w:val="41E77C11"/>
    <w:rsid w:val="426B25D4"/>
    <w:rsid w:val="429D0A4E"/>
    <w:rsid w:val="43A318F9"/>
    <w:rsid w:val="43CF5A29"/>
    <w:rsid w:val="442D371B"/>
    <w:rsid w:val="44890AEF"/>
    <w:rsid w:val="44B33563"/>
    <w:rsid w:val="45C269AF"/>
    <w:rsid w:val="4613720A"/>
    <w:rsid w:val="461865CE"/>
    <w:rsid w:val="4642189D"/>
    <w:rsid w:val="46B221AD"/>
    <w:rsid w:val="471A69C9"/>
    <w:rsid w:val="473226A3"/>
    <w:rsid w:val="47432D89"/>
    <w:rsid w:val="47E81FD1"/>
    <w:rsid w:val="4893018E"/>
    <w:rsid w:val="49FC7FB5"/>
    <w:rsid w:val="4A437992"/>
    <w:rsid w:val="4AA3483E"/>
    <w:rsid w:val="4AC42881"/>
    <w:rsid w:val="4AD909E8"/>
    <w:rsid w:val="4B2254A0"/>
    <w:rsid w:val="4B644252"/>
    <w:rsid w:val="4B7324F9"/>
    <w:rsid w:val="4B9C4F92"/>
    <w:rsid w:val="4BD44D46"/>
    <w:rsid w:val="4C013661"/>
    <w:rsid w:val="4CC73F5E"/>
    <w:rsid w:val="4D343593"/>
    <w:rsid w:val="4DB35FF9"/>
    <w:rsid w:val="4E404914"/>
    <w:rsid w:val="4E6879C7"/>
    <w:rsid w:val="4ECA2430"/>
    <w:rsid w:val="4F270AF2"/>
    <w:rsid w:val="4F540134"/>
    <w:rsid w:val="503D11B0"/>
    <w:rsid w:val="5084001E"/>
    <w:rsid w:val="50D94BAC"/>
    <w:rsid w:val="51842D6A"/>
    <w:rsid w:val="524D19FA"/>
    <w:rsid w:val="526C0B56"/>
    <w:rsid w:val="52B92EE7"/>
    <w:rsid w:val="53456529"/>
    <w:rsid w:val="54B725CE"/>
    <w:rsid w:val="54CD67D6"/>
    <w:rsid w:val="56240D2C"/>
    <w:rsid w:val="57AC16EE"/>
    <w:rsid w:val="5859544B"/>
    <w:rsid w:val="58956A46"/>
    <w:rsid w:val="58C8202C"/>
    <w:rsid w:val="5A7F5476"/>
    <w:rsid w:val="5ADC59C5"/>
    <w:rsid w:val="5AF0321E"/>
    <w:rsid w:val="5BBB7799"/>
    <w:rsid w:val="5BC619FD"/>
    <w:rsid w:val="5C717B35"/>
    <w:rsid w:val="5CDD337D"/>
    <w:rsid w:val="5DD76917"/>
    <w:rsid w:val="5E133B7E"/>
    <w:rsid w:val="5E3B2A02"/>
    <w:rsid w:val="5E8425FB"/>
    <w:rsid w:val="608C7E04"/>
    <w:rsid w:val="60FF797D"/>
    <w:rsid w:val="618834CE"/>
    <w:rsid w:val="62364D94"/>
    <w:rsid w:val="62853344"/>
    <w:rsid w:val="635D78BF"/>
    <w:rsid w:val="637B1AF3"/>
    <w:rsid w:val="63E853DA"/>
    <w:rsid w:val="6457120A"/>
    <w:rsid w:val="648E0584"/>
    <w:rsid w:val="65F22540"/>
    <w:rsid w:val="67931B01"/>
    <w:rsid w:val="67F53CE1"/>
    <w:rsid w:val="6839022E"/>
    <w:rsid w:val="684B418A"/>
    <w:rsid w:val="68694610"/>
    <w:rsid w:val="68885F19"/>
    <w:rsid w:val="689A2A1B"/>
    <w:rsid w:val="69862A24"/>
    <w:rsid w:val="69B61AD7"/>
    <w:rsid w:val="69D9062E"/>
    <w:rsid w:val="6ADC556D"/>
    <w:rsid w:val="6B6421C7"/>
    <w:rsid w:val="6B947BF6"/>
    <w:rsid w:val="6BCE07B8"/>
    <w:rsid w:val="6C5F4664"/>
    <w:rsid w:val="6C7C0DB6"/>
    <w:rsid w:val="6FE25E2D"/>
    <w:rsid w:val="711710AD"/>
    <w:rsid w:val="7148395C"/>
    <w:rsid w:val="71D074AE"/>
    <w:rsid w:val="7218332F"/>
    <w:rsid w:val="722A3062"/>
    <w:rsid w:val="72895FDA"/>
    <w:rsid w:val="72DC0914"/>
    <w:rsid w:val="7422193C"/>
    <w:rsid w:val="747E1443"/>
    <w:rsid w:val="75324707"/>
    <w:rsid w:val="75BD5074"/>
    <w:rsid w:val="75CB4B5C"/>
    <w:rsid w:val="765A0B30"/>
    <w:rsid w:val="765B1A3C"/>
    <w:rsid w:val="7695113D"/>
    <w:rsid w:val="77020109"/>
    <w:rsid w:val="7755292F"/>
    <w:rsid w:val="77560455"/>
    <w:rsid w:val="78CC6D3B"/>
    <w:rsid w:val="78DC469B"/>
    <w:rsid w:val="790B7962"/>
    <w:rsid w:val="799F43B3"/>
    <w:rsid w:val="79B867C9"/>
    <w:rsid w:val="79DF6EB8"/>
    <w:rsid w:val="7A147095"/>
    <w:rsid w:val="7AF366E7"/>
    <w:rsid w:val="7B734B9C"/>
    <w:rsid w:val="7B892BA7"/>
    <w:rsid w:val="7CFB0032"/>
    <w:rsid w:val="7D1E37CD"/>
    <w:rsid w:val="7DD86C30"/>
    <w:rsid w:val="7E993157"/>
    <w:rsid w:val="7EC14D4E"/>
    <w:rsid w:val="7F45025C"/>
    <w:rsid w:val="7F4D38C1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4795</Words>
  <Characters>5159</Characters>
  <Lines>0</Lines>
  <Paragraphs>0</Paragraphs>
  <TotalTime>0</TotalTime>
  <ScaleCrop>false</ScaleCrop>
  <LinksUpToDate>false</LinksUpToDate>
  <CharactersWithSpaces>5199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2025-09-14T10:32:33Z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